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default" w:eastAsia="宋体"/>
          <w:lang w:val="en-US" w:eastAsia="zh-CN"/>
        </w:rPr>
      </w:pPr>
      <w:r>
        <w:rPr>
          <w:b/>
        </w:rPr>
        <w:t>3GPP TSG RAN WG1 #11</w:t>
      </w:r>
      <w:r>
        <w:rPr>
          <w:rFonts w:eastAsia="宋体"/>
          <w:b/>
        </w:rPr>
        <w:t>4</w:t>
      </w:r>
      <w:r>
        <w:rPr>
          <w:b/>
        </w:rPr>
        <w:t xml:space="preserve">                                                  </w:t>
      </w:r>
      <w:r>
        <w:rPr>
          <w:rFonts w:eastAsia="宋体"/>
          <w:b/>
        </w:rPr>
        <w:t xml:space="preserve">                                    </w:t>
      </w:r>
      <w:r>
        <w:rPr>
          <w:b/>
        </w:rPr>
        <w:t>R1-230</w:t>
      </w:r>
      <w:r>
        <w:rPr>
          <w:rFonts w:hint="eastAsia" w:eastAsia="宋体"/>
          <w:b/>
          <w:lang w:val="en-US" w:eastAsia="zh-CN"/>
        </w:rPr>
        <w:t>8450</w:t>
      </w:r>
      <w:bookmarkStart w:id="87" w:name="_GoBack"/>
      <w:bookmarkEnd w:id="87"/>
    </w:p>
    <w:p>
      <w:pPr>
        <w:tabs>
          <w:tab w:val="center" w:pos="4536"/>
          <w:tab w:val="right" w:pos="8280"/>
          <w:tab w:val="right" w:pos="9639"/>
        </w:tabs>
        <w:snapToGrid w:val="0"/>
        <w:ind w:left="442" w:right="2" w:hanging="442"/>
        <w:jc w:val="both"/>
        <w:rPr>
          <w:rFonts w:eastAsia="宋体"/>
          <w:b/>
        </w:rPr>
      </w:pPr>
      <w:bookmarkStart w:id="0" w:name="OLE_LINK27"/>
      <w:r>
        <w:rPr>
          <w:rFonts w:eastAsia="MS Mincho"/>
          <w:b/>
          <w:bCs/>
          <w:sz w:val="22"/>
          <w:szCs w:val="22"/>
          <w:lang w:eastAsia="en-US" w:bidi="ar"/>
        </w:rPr>
        <w:t>Toulouse, France, August 21</w:t>
      </w:r>
      <w:r>
        <w:rPr>
          <w:rFonts w:eastAsia="MS Mincho"/>
          <w:b/>
          <w:bCs/>
          <w:sz w:val="22"/>
          <w:szCs w:val="22"/>
          <w:vertAlign w:val="superscript"/>
          <w:lang w:eastAsia="en-US" w:bidi="ar"/>
        </w:rPr>
        <w:t>st</w:t>
      </w:r>
      <w:r>
        <w:rPr>
          <w:rFonts w:eastAsia="MS Mincho"/>
          <w:b/>
          <w:bCs/>
          <w:sz w:val="22"/>
          <w:szCs w:val="22"/>
          <w:lang w:eastAsia="en-US" w:bidi="ar"/>
        </w:rPr>
        <w:t xml:space="preserve"> – August 25</w:t>
      </w:r>
      <w:r>
        <w:rPr>
          <w:rFonts w:eastAsia="MS Mincho"/>
          <w:b/>
          <w:bCs/>
          <w:sz w:val="22"/>
          <w:szCs w:val="22"/>
          <w:vertAlign w:val="superscript"/>
          <w:lang w:eastAsia="en-US" w:bidi="ar"/>
        </w:rPr>
        <w:t>th</w:t>
      </w:r>
      <w:bookmarkEnd w:id="0"/>
      <w:r>
        <w:rPr>
          <w:rFonts w:eastAsia="宋体"/>
          <w:b/>
          <w:lang w:eastAsia="ja-JP"/>
        </w:rPr>
        <w:t xml:space="preserve">, </w:t>
      </w:r>
      <w:r>
        <w:rPr>
          <w:rFonts w:eastAsia="宋体"/>
          <w:b/>
        </w:rPr>
        <w:t>2023</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9.5.4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rPr>
        <w:t>3</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Discussion and Decision</w:t>
      </w:r>
    </w:p>
    <w:p>
      <w:pPr>
        <w:pStyle w:val="38"/>
        <w:numPr>
          <w:ilvl w:val="0"/>
          <w:numId w:val="3"/>
        </w:numPr>
        <w:snapToGrid w:val="0"/>
        <w:spacing w:before="180" w:after="180"/>
        <w:ind w:left="431" w:hanging="431"/>
        <w:rPr>
          <w:sz w:val="28"/>
          <w:szCs w:val="28"/>
        </w:rPr>
      </w:pPr>
      <w:r>
        <w:rPr>
          <w:sz w:val="28"/>
          <w:szCs w:val="28"/>
        </w:rPr>
        <w:t>Introduction</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rFonts w:hint="eastAsia"/>
          <w:iCs/>
          <w:sz w:val="20"/>
          <w:szCs w:val="20"/>
        </w:rPr>
        <w:t xml:space="preserve">In SI of NR Rel-18 positioning, RAN4 studied bandwidth aggregation for positioning measurement. The </w:t>
      </w:r>
      <w:r>
        <w:rPr>
          <w:iCs/>
          <w:sz w:val="20"/>
          <w:szCs w:val="20"/>
        </w:rPr>
        <w:t>corresponding</w:t>
      </w:r>
      <w:r>
        <w:rPr>
          <w:rFonts w:hint="eastAsia"/>
          <w:iCs/>
          <w:sz w:val="20"/>
          <w:szCs w:val="20"/>
        </w:rPr>
        <w:t xml:space="preserve"> conclusions are captured in the TR 38.859. </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302" w:type="dxa"/>
          </w:tcPr>
          <w:p>
            <w:pPr>
              <w:numPr>
                <w:ilvl w:val="0"/>
                <w:numId w:val="4"/>
              </w:numPr>
              <w:snapToGrid w:val="0"/>
              <w:ind w:hanging="363"/>
              <w:rPr>
                <w:rFonts w:eastAsia="MS Mincho"/>
                <w:sz w:val="20"/>
                <w:szCs w:val="20"/>
                <w:lang w:eastAsia="ko-KR"/>
              </w:rPr>
            </w:pPr>
            <w:r>
              <w:rPr>
                <w:rFonts w:hint="eastAsia" w:eastAsia="MS Mincho"/>
                <w:sz w:val="20"/>
                <w:szCs w:val="20"/>
                <w:lang w:eastAsia="ko-KR"/>
              </w:rPr>
              <w:t>Specify bandwidth aggregation for positioning measurements across up to three intra-band contiguous carriers [RAN1, RAN2, RAN4].</w:t>
            </w:r>
          </w:p>
          <w:p>
            <w:pPr>
              <w:numPr>
                <w:ilvl w:val="1"/>
                <w:numId w:val="4"/>
              </w:numPr>
              <w:snapToGrid w:val="0"/>
              <w:ind w:hanging="363"/>
              <w:rPr>
                <w:sz w:val="20"/>
                <w:szCs w:val="20"/>
                <w:lang w:eastAsia="ko-KR"/>
              </w:rPr>
            </w:pPr>
            <w:r>
              <w:rPr>
                <w:rFonts w:hint="eastAsia"/>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ind w:hanging="363"/>
              <w:rPr>
                <w:sz w:val="20"/>
                <w:szCs w:val="20"/>
                <w:lang w:eastAsia="ko-KR"/>
              </w:rPr>
            </w:pPr>
            <w:r>
              <w:rPr>
                <w:rFonts w:hint="eastAsia"/>
                <w:sz w:val="20"/>
                <w:szCs w:val="20"/>
                <w:lang w:eastAsia="ko-KR"/>
              </w:rPr>
              <w:t>NOTE: The support of bandwidth aggregation for positioning measurements applies only to timing related measurements (e.g., RSTD, RTOA, and UE/gNB Rx-Tx time difference).</w:t>
            </w:r>
          </w:p>
          <w:p>
            <w:pPr>
              <w:numPr>
                <w:ilvl w:val="1"/>
                <w:numId w:val="4"/>
              </w:numPr>
              <w:snapToGrid w:val="0"/>
              <w:ind w:hanging="363"/>
            </w:pPr>
            <w:r>
              <w:rPr>
                <w:rFonts w:hint="eastAsia"/>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snapToGrid w:val="0"/>
        <w:jc w:val="both"/>
        <w:rPr>
          <w:rFonts w:eastAsia="宋体"/>
          <w:kern w:val="2"/>
          <w:sz w:val="20"/>
          <w:szCs w:val="20"/>
        </w:rPr>
      </w:pPr>
      <w:r>
        <w:rPr>
          <w:rFonts w:eastAsia="宋体"/>
          <w:kern w:val="2"/>
          <w:sz w:val="20"/>
          <w:szCs w:val="20"/>
        </w:rPr>
        <w:t xml:space="preserve">The focus on the 9.5.4 Sub-agenda is the above objective. In this paper, we summarize </w:t>
      </w:r>
      <w:r>
        <w:rPr>
          <w:rFonts w:hint="eastAsia" w:eastAsia="宋体"/>
          <w:kern w:val="2"/>
          <w:sz w:val="20"/>
          <w:szCs w:val="20"/>
        </w:rPr>
        <w:t>proposals</w:t>
      </w:r>
      <w:r>
        <w:rPr>
          <w:rFonts w:eastAsia="宋体"/>
          <w:kern w:val="2"/>
          <w:sz w:val="20"/>
          <w:szCs w:val="20"/>
        </w:rPr>
        <w:t xml:space="preserve"> in the contributions and identify some areas and positions where contributing companies are aligned from which some agreements could be derived at this meeting.</w:t>
      </w: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4</w:t>
      </w:r>
      <w:r>
        <w:rPr>
          <w:rFonts w:eastAsia="宋体"/>
          <w:kern w:val="2"/>
          <w:sz w:val="20"/>
          <w:szCs w:val="20"/>
        </w:rPr>
        <w:t xml:space="preserve"> meeting. </w:t>
      </w:r>
    </w:p>
    <w:tbl>
      <w:tblPr>
        <w:tblStyle w:val="30"/>
        <w:tblW w:w="9351" w:type="dxa"/>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autofit"/>
        <w:tblCellMar>
          <w:top w:w="0" w:type="dxa"/>
          <w:left w:w="108" w:type="dxa"/>
          <w:bottom w:w="0" w:type="dxa"/>
          <w:right w:w="108" w:type="dxa"/>
        </w:tblCellMar>
      </w:tblPr>
      <w:tblGrid>
        <w:gridCol w:w="1413"/>
        <w:gridCol w:w="6095"/>
        <w:gridCol w:w="1843"/>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675" w:hRule="atLeast"/>
        </w:trPr>
        <w:tc>
          <w:tcPr>
            <w:tcW w:w="1413" w:type="dxa"/>
            <w:tcBorders>
              <w:tl2br w:val="nil"/>
              <w:tr2bl w:val="nil"/>
            </w:tcBorders>
          </w:tcPr>
          <w:p>
            <w:pPr>
              <w:snapToGrid w:val="0"/>
              <w:jc w:val="both"/>
              <w:rPr>
                <w:rFonts w:eastAsia="宋体"/>
                <w:b/>
                <w:bCs/>
                <w:kern w:val="2"/>
                <w:sz w:val="20"/>
                <w:szCs w:val="20"/>
                <w:u w:val="single"/>
              </w:rPr>
            </w:pPr>
            <w:bookmarkStart w:id="1" w:name="OLE_LINK24"/>
            <w:r>
              <w:rPr>
                <w:rFonts w:hint="eastAsia"/>
              </w:rPr>
              <w:fldChar w:fldCharType="begin"/>
            </w:r>
            <w:r>
              <w:rPr>
                <w:rFonts w:hint="eastAsia"/>
              </w:rPr>
              <w:instrText xml:space="preserve"> HYPERLINK "https://www.3gpp.org/ftp/TSG_RAN/WG1_RL1/TSGR1_114/Docs/R1-2306499.zip" </w:instrText>
            </w:r>
            <w:r>
              <w:rPr>
                <w:rFonts w:hint="eastAsia"/>
              </w:rPr>
              <w:fldChar w:fldCharType="separate"/>
            </w:r>
            <w:r>
              <w:rPr>
                <w:rStyle w:val="36"/>
                <w:rFonts w:hint="eastAsia" w:eastAsia="宋体"/>
                <w:b/>
                <w:bCs/>
                <w:kern w:val="2"/>
                <w:sz w:val="20"/>
                <w:szCs w:val="20"/>
              </w:rPr>
              <w:t>R1-2306499</w:t>
            </w:r>
            <w:r>
              <w:rPr>
                <w:rStyle w:val="36"/>
                <w:rFonts w:hint="eastAsia" w:eastAsia="宋体"/>
                <w:b/>
                <w:bCs/>
                <w:kern w:val="2"/>
                <w:sz w:val="20"/>
                <w:szCs w:val="20"/>
              </w:rPr>
              <w:fldChar w:fldCharType="end"/>
            </w:r>
            <w:bookmarkEnd w:id="1"/>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Remaining issues of BW aggregation for PRS and SRS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Huawei, HiSilicon, China Unicom, China Telecom</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"https://www.3gpp.org/ftp/TSG_RAN/WG1_RL1/TSGR1_114/Docs/R1-2306574.zip" </w:instrText>
            </w:r>
            <w:r>
              <w:fldChar w:fldCharType="separate"/>
            </w:r>
            <w:r>
              <w:rPr>
                <w:rStyle w:val="36"/>
                <w:rFonts w:hint="eastAsia" w:eastAsia="宋体"/>
                <w:b/>
                <w:bCs/>
                <w:kern w:val="2"/>
                <w:sz w:val="20"/>
                <w:szCs w:val="20"/>
              </w:rPr>
              <w:t>R1-2306574</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Discussions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Ruijie Network Co. Ltd</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"https://www.3gpp.org/ftp/TSG_RAN/WG1_RL1/TSGR1_114/Docs/R1-2306654.zip" </w:instrText>
            </w:r>
            <w:r>
              <w:fldChar w:fldCharType="separate"/>
            </w:r>
            <w:r>
              <w:rPr>
                <w:rStyle w:val="36"/>
                <w:rFonts w:hint="eastAsia" w:eastAsia="宋体"/>
                <w:b/>
                <w:bCs/>
                <w:kern w:val="2"/>
                <w:sz w:val="20"/>
                <w:szCs w:val="20"/>
              </w:rPr>
              <w:t>R1-2306654</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Discussion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Spreadtrum Communications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"https://www.3gpp.org/ftp/TSG_RAN/WG1_RL1/TSGR1_114/Docs/R1-2306759.zip" </w:instrText>
            </w:r>
            <w:r>
              <w:fldChar w:fldCharType="separate"/>
            </w:r>
            <w:r>
              <w:rPr>
                <w:rStyle w:val="36"/>
                <w:rFonts w:hint="eastAsia" w:eastAsia="宋体"/>
                <w:b/>
                <w:bCs/>
                <w:kern w:val="2"/>
                <w:sz w:val="20"/>
                <w:szCs w:val="20"/>
              </w:rPr>
              <w:t>R1-2306759</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Discussion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vivo</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"https://www.3gpp.org/ftp/TSG_RAN/WG1_RL1/TSGR1_114/Docs/R1-2306821.zip" </w:instrText>
            </w:r>
            <w:r>
              <w:fldChar w:fldCharType="separate"/>
            </w:r>
            <w:r>
              <w:rPr>
                <w:rStyle w:val="36"/>
                <w:rFonts w:hint="eastAsia" w:eastAsia="宋体"/>
                <w:b/>
                <w:bCs/>
                <w:kern w:val="2"/>
                <w:sz w:val="20"/>
                <w:szCs w:val="20"/>
              </w:rPr>
              <w:t>R1-2306821</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Views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Nokia, Nokia Shanghai Bell</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"https://www.3gpp.org/ftp/TSG_RAN/WG1_RL1/TSGR1_114/Docs/R1-2306844.zip" </w:instrText>
            </w:r>
            <w:r>
              <w:fldChar w:fldCharType="separate"/>
            </w:r>
            <w:r>
              <w:rPr>
                <w:rStyle w:val="36"/>
                <w:rFonts w:hint="eastAsia" w:eastAsia="宋体"/>
                <w:b/>
                <w:bCs/>
                <w:kern w:val="2"/>
                <w:sz w:val="20"/>
                <w:szCs w:val="20"/>
              </w:rPr>
              <w:t>R1-2306844</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On bandwidth aggregation for positioning</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Intel Corporation</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"https://www.3gpp.org/ftp/TSG_RAN/WG1_RL1/TSGR1_114/Docs/R1-2306867.zip" </w:instrText>
            </w:r>
            <w:r>
              <w:fldChar w:fldCharType="separate"/>
            </w:r>
            <w:r>
              <w:rPr>
                <w:rStyle w:val="36"/>
                <w:rFonts w:hint="eastAsia" w:eastAsia="宋体"/>
                <w:b/>
                <w:bCs/>
                <w:kern w:val="2"/>
                <w:sz w:val="20"/>
                <w:szCs w:val="20"/>
              </w:rPr>
              <w:t>R1-2306867</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Discussion on BW aggregation for positioning</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ZTE</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"https://www.3gpp.org/ftp/TSG_RAN/WG1_RL1/TSGR1_114/Docs/R1-2306890.zip" </w:instrText>
            </w:r>
            <w:r>
              <w:fldChar w:fldCharType="separate"/>
            </w:r>
            <w:r>
              <w:rPr>
                <w:rStyle w:val="36"/>
                <w:rFonts w:hint="eastAsia" w:eastAsia="宋体"/>
                <w:b/>
                <w:bCs/>
                <w:kern w:val="2"/>
                <w:sz w:val="20"/>
                <w:szCs w:val="20"/>
              </w:rPr>
              <w:t>R1-2306890</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Discussion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LG Electronics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"https://www.3gpp.org/ftp/TSG_RAN/WG1_RL1/TSGR1_114/Docs/R1-2307096.zip" </w:instrText>
            </w:r>
            <w:r>
              <w:fldChar w:fldCharType="separate"/>
            </w:r>
            <w:r>
              <w:rPr>
                <w:rStyle w:val="36"/>
                <w:rFonts w:hint="eastAsia" w:eastAsia="宋体"/>
                <w:b/>
                <w:bCs/>
                <w:kern w:val="2"/>
                <w:sz w:val="20"/>
                <w:szCs w:val="20"/>
              </w:rPr>
              <w:t>R1-2307096</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Remaining issues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CATT</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"https://www.3gpp.org/ftp/TSG_RAN/WG1_RL1/TSGR1_114/Docs/R1-2307204.zip" </w:instrText>
            </w:r>
            <w:r>
              <w:fldChar w:fldCharType="separate"/>
            </w:r>
            <w:r>
              <w:rPr>
                <w:rStyle w:val="36"/>
                <w:rFonts w:hint="eastAsia" w:eastAsia="宋体"/>
                <w:b/>
                <w:bCs/>
                <w:kern w:val="2"/>
                <w:sz w:val="20"/>
                <w:szCs w:val="20"/>
              </w:rPr>
              <w:t>R1-2307204</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Discussion on BW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CMCC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"https://www.3gpp.org/ftp/TSG_RAN/WG1_RL1/TSGR1_114/Docs/R1-2307287.zip" </w:instrText>
            </w:r>
            <w:r>
              <w:fldChar w:fldCharType="separate"/>
            </w:r>
            <w:r>
              <w:rPr>
                <w:rStyle w:val="36"/>
                <w:rFonts w:hint="eastAsia" w:eastAsia="宋体"/>
                <w:b/>
                <w:bCs/>
                <w:kern w:val="2"/>
                <w:sz w:val="20"/>
                <w:szCs w:val="20"/>
              </w:rPr>
              <w:t>R1-2307287</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Apple</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bookmarkStart w:id="2" w:name="OLE_LINK13"/>
            <w:r>
              <w:rPr>
                <w:rFonts w:hint="eastAsia"/>
              </w:rPr>
              <w:fldChar w:fldCharType="begin"/>
            </w:r>
            <w:r>
              <w:rPr>
                <w:rFonts w:hint="eastAsia"/>
              </w:rPr>
              <w:instrText xml:space="preserve"> HYPERLINK "https://www.3gpp.org/ftp/TSG_RAN/WG1_RL1/TSGR1_114/Docs/R1-2307394.zip" </w:instrText>
            </w:r>
            <w:r>
              <w:rPr>
                <w:rFonts w:hint="eastAsia"/>
              </w:rPr>
              <w:fldChar w:fldCharType="separate"/>
            </w:r>
            <w:r>
              <w:rPr>
                <w:rStyle w:val="36"/>
                <w:rFonts w:hint="eastAsia" w:eastAsia="宋体"/>
                <w:b/>
                <w:bCs/>
                <w:kern w:val="2"/>
                <w:sz w:val="20"/>
                <w:szCs w:val="20"/>
              </w:rPr>
              <w:t>R1-2307394</w:t>
            </w:r>
            <w:r>
              <w:rPr>
                <w:rStyle w:val="36"/>
                <w:rFonts w:hint="eastAsia" w:eastAsia="宋体"/>
                <w:b/>
                <w:bCs/>
                <w:kern w:val="2"/>
                <w:sz w:val="20"/>
                <w:szCs w:val="20"/>
              </w:rPr>
              <w:fldChar w:fldCharType="end"/>
            </w:r>
            <w:bookmarkEnd w:id="2"/>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Bandwidth aggregation for positioning measurement</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xiaomi</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"https://www.3gpp.org/ftp/TSG_RAN/WG1_RL1/TSGR1_114/Docs/R1-2307480.zip" </w:instrText>
            </w:r>
            <w:r>
              <w:fldChar w:fldCharType="separate"/>
            </w:r>
            <w:r>
              <w:rPr>
                <w:rStyle w:val="36"/>
                <w:rFonts w:hint="eastAsia" w:eastAsia="宋体"/>
                <w:b/>
                <w:bCs/>
                <w:kern w:val="2"/>
                <w:sz w:val="20"/>
                <w:szCs w:val="20"/>
              </w:rPr>
              <w:t>R1-2307480</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Discussion 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NTT DOCOMO, INC.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bookmarkStart w:id="3" w:name="OLE_LINK21"/>
            <w:r>
              <w:rPr>
                <w:rFonts w:hint="eastAsia"/>
              </w:rPr>
              <w:fldChar w:fldCharType="begin"/>
            </w:r>
            <w:r>
              <w:rPr>
                <w:rFonts w:hint="eastAsia"/>
              </w:rPr>
              <w:instrText xml:space="preserve"> HYPERLINK "https://www.3gpp.org/ftp/TSG_RAN/WG1_RL1/TSGR1_114/Docs/R1-2307523.zip" </w:instrText>
            </w:r>
            <w:r>
              <w:rPr>
                <w:rFonts w:hint="eastAsia"/>
              </w:rPr>
              <w:fldChar w:fldCharType="separate"/>
            </w:r>
            <w:r>
              <w:rPr>
                <w:rStyle w:val="36"/>
                <w:rFonts w:hint="eastAsia" w:eastAsia="宋体"/>
                <w:b/>
                <w:bCs/>
                <w:kern w:val="2"/>
                <w:sz w:val="20"/>
                <w:szCs w:val="20"/>
              </w:rPr>
              <w:t>R1-2307523</w:t>
            </w:r>
            <w:r>
              <w:rPr>
                <w:rStyle w:val="36"/>
                <w:rFonts w:hint="eastAsia" w:eastAsia="宋体"/>
                <w:b/>
                <w:bCs/>
                <w:kern w:val="2"/>
                <w:sz w:val="20"/>
                <w:szCs w:val="20"/>
              </w:rPr>
              <w:fldChar w:fldCharType="end"/>
            </w:r>
            <w:bookmarkEnd w:id="3"/>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Discussion on bandwidth aggregation for positioning measurement</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OPPO</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"https://www.3gpp.org/ftp/TSG_RAN/WG1_RL1/TSGR1_114/Docs/R1-2307589.zip" </w:instrText>
            </w:r>
            <w:r>
              <w:fldChar w:fldCharType="separate"/>
            </w:r>
            <w:r>
              <w:rPr>
                <w:rStyle w:val="36"/>
                <w:rFonts w:hint="eastAsia" w:eastAsia="宋体"/>
                <w:b/>
                <w:bCs/>
                <w:kern w:val="2"/>
                <w:sz w:val="20"/>
                <w:szCs w:val="20"/>
              </w:rPr>
              <w:t>R1-2307589</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InterDigital, Inc.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"https://www.3gpp.org/ftp/TSG_RAN/WG1_RL1/TSGR1_114/Docs/R1-2307687.zip" </w:instrText>
            </w:r>
            <w:r>
              <w:fldChar w:fldCharType="separate"/>
            </w:r>
            <w:r>
              <w:rPr>
                <w:rStyle w:val="36"/>
                <w:rFonts w:hint="eastAsia" w:eastAsia="宋体"/>
                <w:b/>
                <w:bCs/>
                <w:kern w:val="2"/>
                <w:sz w:val="20"/>
                <w:szCs w:val="20"/>
              </w:rPr>
              <w:t>R1-2307687</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On 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Samsung</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"https://www.3gpp.org/ftp/TSG_RAN/WG1_RL1/TSGR1_114/Docs/R1-2307827.zip" </w:instrText>
            </w:r>
            <w:r>
              <w:fldChar w:fldCharType="separate"/>
            </w:r>
            <w:r>
              <w:rPr>
                <w:rStyle w:val="36"/>
                <w:rFonts w:hint="eastAsia" w:eastAsia="宋体"/>
                <w:b/>
                <w:bCs/>
                <w:kern w:val="2"/>
                <w:sz w:val="20"/>
                <w:szCs w:val="20"/>
              </w:rPr>
              <w:t>R1-2307827</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Remaining PRS Bandwidth aggregation issues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Lenovo</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"https://www.3gpp.org/ftp/TSG_RAN/WG1_RL1/TSGR1_114/Docs/R1-2307935.zip" </w:instrText>
            </w:r>
            <w:r>
              <w:fldChar w:fldCharType="separate"/>
            </w:r>
            <w:r>
              <w:rPr>
                <w:rStyle w:val="36"/>
                <w:rFonts w:hint="eastAsia" w:eastAsia="宋体"/>
                <w:b/>
                <w:bCs/>
                <w:kern w:val="2"/>
                <w:sz w:val="20"/>
                <w:szCs w:val="20"/>
              </w:rPr>
              <w:t>R1-2307935</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Discussion on Bandwidth aggregation for Positioning</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Qualcomm Incorporated</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r>
              <w:fldChar w:fldCharType="begin"/>
            </w:r>
            <w:r>
              <w:instrText xml:space="preserve"> HYPERLINK "https://www.3gpp.org/ftp/TSG_RAN/WG1_RL1/TSGR1_114/Docs/R1-2308094.zip" </w:instrText>
            </w:r>
            <w:r>
              <w:fldChar w:fldCharType="separate"/>
            </w:r>
            <w:r>
              <w:rPr>
                <w:rStyle w:val="36"/>
                <w:rFonts w:hint="eastAsia" w:eastAsia="宋体"/>
                <w:b/>
                <w:bCs/>
                <w:kern w:val="2"/>
                <w:sz w:val="20"/>
                <w:szCs w:val="20"/>
              </w:rPr>
              <w:t>R1-2308094</w:t>
            </w:r>
            <w:r>
              <w:rPr>
                <w:rStyle w:val="36"/>
                <w:rFonts w:hint="eastAsia" w:eastAsia="宋体"/>
                <w:b/>
                <w:bCs/>
                <w:kern w:val="2"/>
                <w:sz w:val="20"/>
                <w:szCs w:val="20"/>
              </w:rPr>
              <w:fldChar w:fldCharType="end"/>
            </w:r>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PRS/SRS aggregation for positioning measurement</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MediaTek Korea Inc.</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450" w:hRule="atLeast"/>
        </w:trPr>
        <w:tc>
          <w:tcPr>
            <w:tcW w:w="1413" w:type="dxa"/>
            <w:tcBorders>
              <w:tl2br w:val="nil"/>
              <w:tr2bl w:val="nil"/>
            </w:tcBorders>
          </w:tcPr>
          <w:p>
            <w:pPr>
              <w:snapToGrid w:val="0"/>
              <w:jc w:val="both"/>
              <w:rPr>
                <w:rFonts w:eastAsia="宋体"/>
                <w:b/>
                <w:bCs/>
                <w:kern w:val="2"/>
                <w:sz w:val="20"/>
                <w:szCs w:val="20"/>
                <w:u w:val="single"/>
              </w:rPr>
            </w:pPr>
            <w:bookmarkStart w:id="4" w:name="OLE_LINK16"/>
            <w:r>
              <w:rPr>
                <w:rFonts w:hint="eastAsia"/>
              </w:rPr>
              <w:fldChar w:fldCharType="begin"/>
            </w:r>
            <w:r>
              <w:rPr>
                <w:rFonts w:hint="eastAsia"/>
              </w:rPr>
              <w:instrText xml:space="preserve"> HYPERLINK "https://www.3gpp.org/ftp/TSG_RAN/WG1_RL1/TSGR1_114/Docs/R1-2308171.zip" </w:instrText>
            </w:r>
            <w:r>
              <w:rPr>
                <w:rFonts w:hint="eastAsia"/>
              </w:rPr>
              <w:fldChar w:fldCharType="separate"/>
            </w:r>
            <w:r>
              <w:rPr>
                <w:rStyle w:val="36"/>
                <w:rFonts w:hint="eastAsia" w:eastAsia="宋体"/>
                <w:b/>
                <w:bCs/>
                <w:kern w:val="2"/>
                <w:sz w:val="20"/>
                <w:szCs w:val="20"/>
              </w:rPr>
              <w:t>R1-2308171</w:t>
            </w:r>
            <w:r>
              <w:rPr>
                <w:rStyle w:val="36"/>
                <w:rFonts w:hint="eastAsia" w:eastAsia="宋体"/>
                <w:b/>
                <w:bCs/>
                <w:kern w:val="2"/>
                <w:sz w:val="20"/>
                <w:szCs w:val="20"/>
              </w:rPr>
              <w:fldChar w:fldCharType="end"/>
            </w:r>
            <w:bookmarkEnd w:id="4"/>
          </w:p>
        </w:tc>
        <w:tc>
          <w:tcPr>
            <w:tcW w:w="6095" w:type="dxa"/>
            <w:tcBorders>
              <w:tl2br w:val="nil"/>
              <w:tr2bl w:val="nil"/>
            </w:tcBorders>
          </w:tcPr>
          <w:p>
            <w:pPr>
              <w:snapToGrid w:val="0"/>
              <w:jc w:val="both"/>
              <w:rPr>
                <w:rFonts w:eastAsia="宋体"/>
                <w:kern w:val="2"/>
                <w:sz w:val="20"/>
                <w:szCs w:val="20"/>
              </w:rPr>
            </w:pPr>
            <w:r>
              <w:rPr>
                <w:rFonts w:hint="eastAsia" w:eastAsia="宋体"/>
                <w:kern w:val="2"/>
                <w:sz w:val="20"/>
                <w:szCs w:val="20"/>
              </w:rPr>
              <w:t>Bandwidth aggregation for positioning measurements</w:t>
            </w:r>
          </w:p>
        </w:tc>
        <w:tc>
          <w:tcPr>
            <w:tcW w:w="1843" w:type="dxa"/>
            <w:tcBorders>
              <w:tl2br w:val="nil"/>
              <w:tr2bl w:val="nil"/>
            </w:tcBorders>
          </w:tcPr>
          <w:p>
            <w:pPr>
              <w:snapToGrid w:val="0"/>
              <w:jc w:val="both"/>
              <w:rPr>
                <w:rFonts w:eastAsia="宋体"/>
                <w:kern w:val="2"/>
                <w:sz w:val="20"/>
                <w:szCs w:val="20"/>
              </w:rPr>
            </w:pPr>
            <w:r>
              <w:rPr>
                <w:rFonts w:hint="eastAsia" w:eastAsia="宋体"/>
                <w:kern w:val="2"/>
                <w:sz w:val="20"/>
                <w:szCs w:val="20"/>
              </w:rPr>
              <w:t>Ericsson</w:t>
            </w: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0"/>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hint="eastAsia" w:eastAsia="宋体"/>
                <w:b/>
                <w:kern w:val="2"/>
                <w:sz w:val="20"/>
                <w:szCs w:val="20"/>
              </w:rPr>
              <w:t>Company</w:t>
            </w:r>
          </w:p>
        </w:tc>
        <w:tc>
          <w:tcPr>
            <w:tcW w:w="2977" w:type="dxa"/>
          </w:tcPr>
          <w:p>
            <w:pPr>
              <w:snapToGrid w:val="0"/>
              <w:jc w:val="both"/>
              <w:rPr>
                <w:rFonts w:eastAsia="宋体"/>
                <w:b/>
                <w:kern w:val="2"/>
                <w:sz w:val="20"/>
                <w:szCs w:val="20"/>
              </w:rPr>
            </w:pPr>
            <w:r>
              <w:rPr>
                <w:rFonts w:hint="eastAsia" w:eastAsia="宋体"/>
                <w:b/>
                <w:kern w:val="2"/>
                <w:sz w:val="20"/>
                <w:szCs w:val="20"/>
              </w:rPr>
              <w:t>Name</w:t>
            </w:r>
          </w:p>
        </w:tc>
        <w:tc>
          <w:tcPr>
            <w:tcW w:w="4393" w:type="dxa"/>
          </w:tcPr>
          <w:p>
            <w:pPr>
              <w:snapToGrid w:val="0"/>
              <w:jc w:val="both"/>
              <w:rPr>
                <w:rFonts w:eastAsia="宋体"/>
                <w:b/>
                <w:kern w:val="2"/>
                <w:sz w:val="20"/>
                <w:szCs w:val="20"/>
              </w:rPr>
            </w:pPr>
            <w:r>
              <w:rPr>
                <w:rFonts w:hint="eastAsia"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ZTE</w:t>
            </w:r>
          </w:p>
        </w:tc>
        <w:tc>
          <w:tcPr>
            <w:tcW w:w="2977" w:type="dxa"/>
          </w:tcPr>
          <w:p>
            <w:pPr>
              <w:snapToGrid w:val="0"/>
              <w:jc w:val="both"/>
              <w:rPr>
                <w:rFonts w:eastAsia="宋体"/>
                <w:kern w:val="2"/>
                <w:sz w:val="20"/>
                <w:szCs w:val="20"/>
              </w:rPr>
            </w:pPr>
            <w:r>
              <w:rPr>
                <w:rFonts w:hint="eastAsia" w:eastAsia="宋体"/>
                <w:kern w:val="2"/>
                <w:sz w:val="20"/>
                <w:szCs w:val="20"/>
              </w:rPr>
              <w:t>Chuangxin Jiang</w:t>
            </w:r>
          </w:p>
        </w:tc>
        <w:tc>
          <w:tcPr>
            <w:tcW w:w="4393" w:type="dxa"/>
          </w:tcPr>
          <w:p>
            <w:pPr>
              <w:snapToGrid w:val="0"/>
              <w:jc w:val="both"/>
              <w:rPr>
                <w:rFonts w:eastAsia="宋体"/>
                <w:kern w:val="2"/>
                <w:sz w:val="20"/>
                <w:szCs w:val="20"/>
              </w:rPr>
            </w:pPr>
            <w:r>
              <w:rPr>
                <w:rFonts w:hint="eastAsia"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bl>
    <w:p>
      <w:pPr>
        <w:snapToGrid w:val="0"/>
        <w:spacing w:before="180" w:after="180"/>
        <w:jc w:val="both"/>
        <w:rPr>
          <w:rFonts w:eastAsia="宋体"/>
          <w:kern w:val="2"/>
          <w:sz w:val="20"/>
          <w:szCs w:val="20"/>
        </w:rPr>
      </w:pPr>
    </w:p>
    <w:p>
      <w:pPr>
        <w:pStyle w:val="39"/>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Check points</w:t>
      </w:r>
    </w:p>
    <w:p>
      <w:pPr>
        <w:snapToGrid w:val="0"/>
        <w:spacing w:before="180" w:after="180"/>
        <w:jc w:val="both"/>
        <w:rPr>
          <w:rFonts w:eastAsia="宋体"/>
          <w:kern w:val="2"/>
          <w:sz w:val="20"/>
          <w:szCs w:val="20"/>
        </w:rPr>
      </w:pPr>
    </w:p>
    <w:p>
      <w:pPr>
        <w:snapToGrid w:val="0"/>
        <w:spacing w:before="180" w:after="180"/>
        <w:jc w:val="both"/>
        <w:rPr>
          <w:sz w:val="20"/>
          <w:szCs w:val="20"/>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 xml:space="preserve">Common properties </w:t>
      </w:r>
      <w:r>
        <w:rPr>
          <w:rFonts w:hint="eastAsia" w:cs="Arial"/>
          <w:sz w:val="24"/>
          <w:szCs w:val="24"/>
          <w:lang w:val="en-US"/>
        </w:rPr>
        <w:t>for</w:t>
      </w:r>
      <w:r>
        <w:rPr>
          <w:rFonts w:cs="Arial"/>
          <w:sz w:val="24"/>
          <w:szCs w:val="24"/>
          <w:lang w:val="en-US"/>
        </w:rPr>
        <w:t xml:space="preserve"> PRS and SRS</w:t>
      </w:r>
      <w:r>
        <w:rPr>
          <w:rFonts w:hint="eastAsia" w:cs="Arial"/>
          <w:sz w:val="24"/>
          <w:szCs w:val="24"/>
          <w:lang w:val="en-US"/>
        </w:rPr>
        <w:t xml:space="preserv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trPr>
        <w:tc>
          <w:tcPr>
            <w:tcW w:w="1151" w:type="dxa"/>
          </w:tcPr>
          <w:p>
            <w:pPr>
              <w:tabs>
                <w:tab w:val="left" w:pos="1276"/>
              </w:tabs>
              <w:snapToGrid w:val="0"/>
              <w:spacing w:before="180" w:beforeLines="50" w:after="120"/>
              <w:rPr>
                <w:sz w:val="20"/>
                <w:szCs w:val="20"/>
                <w:lang w:val="en-GB"/>
              </w:rPr>
            </w:pPr>
            <w:r>
              <w:rPr>
                <w:rFonts w:hint="eastAsia"/>
                <w:sz w:val="20"/>
                <w:szCs w:val="20"/>
                <w:lang w:val="en-GB"/>
              </w:rPr>
              <w:t>Huawei</w:t>
            </w:r>
          </w:p>
        </w:tc>
        <w:tc>
          <w:tcPr>
            <w:tcW w:w="8228" w:type="dxa"/>
          </w:tcPr>
          <w:p>
            <w:pPr>
              <w:snapToGrid w:val="0"/>
              <w:spacing w:before="180" w:beforeLines="50" w:after="120"/>
              <w:rPr>
                <w:sz w:val="20"/>
                <w:szCs w:val="20"/>
              </w:rPr>
            </w:pPr>
            <w:bookmarkStart w:id="5" w:name="OLE_LINK6"/>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1</w:t>
            </w:r>
            <w:r>
              <w:rPr>
                <w:rFonts w:hint="eastAsia"/>
                <w:sz w:val="20"/>
                <w:szCs w:val="20"/>
              </w:rPr>
              <w:fldChar w:fldCharType="end"/>
            </w:r>
            <w:r>
              <w:rPr>
                <w:rFonts w:hint="eastAsia"/>
                <w:sz w:val="20"/>
                <w:szCs w:val="20"/>
              </w:rPr>
              <w:t xml:space="preserve">: For the PRS and SRS BW aggregation, the aggregated PRS resources in two or three PFLs for a TRP and </w:t>
            </w:r>
            <w:bookmarkStart w:id="6" w:name="OLE_LINK31"/>
            <w:r>
              <w:rPr>
                <w:rFonts w:hint="eastAsia"/>
                <w:sz w:val="20"/>
                <w:szCs w:val="20"/>
              </w:rPr>
              <w:t>the aggregated SRS resources in two or three carriers should have the same antenna port from RAN1 perspective</w:t>
            </w:r>
            <w:bookmarkEnd w:id="6"/>
            <w:r>
              <w:rPr>
                <w:rFonts w:hint="eastAsia"/>
                <w:sz w:val="20"/>
                <w:szCs w:val="20"/>
              </w:rPr>
              <w:t>.</w:t>
            </w:r>
          </w:p>
          <w:p>
            <w:pPr>
              <w:snapToGrid w:val="0"/>
              <w:spacing w:before="180" w:beforeLines="50" w:after="120"/>
              <w:rPr>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10</w:t>
            </w:r>
            <w:r>
              <w:rPr>
                <w:rFonts w:hint="eastAsia"/>
                <w:sz w:val="20"/>
                <w:szCs w:val="20"/>
              </w:rPr>
              <w:fldChar w:fldCharType="end"/>
            </w:r>
            <w:r>
              <w:rPr>
                <w:rFonts w:hint="eastAsia"/>
                <w:sz w:val="20"/>
                <w:szCs w:val="20"/>
              </w:rPr>
              <w:t>: For SRS bandwidth aggregation between SRS in two or three carriers, the following condition is needed for the aggregated SRS resources:</w:t>
            </w:r>
          </w:p>
          <w:p>
            <w:pPr>
              <w:pStyle w:val="139"/>
              <w:numPr>
                <w:ilvl w:val="0"/>
                <w:numId w:val="5"/>
              </w:numPr>
              <w:snapToGrid w:val="0"/>
              <w:spacing w:before="180" w:beforeLines="50" w:after="120"/>
              <w:rPr>
                <w:sz w:val="20"/>
              </w:rPr>
            </w:pPr>
            <w:r>
              <w:rPr>
                <w:rFonts w:hint="eastAsia"/>
                <w:sz w:val="20"/>
              </w:rPr>
              <w:t>the gap size in the frequency domain between two aggregated SRS in the adjacent CCs should be no larger than Y, where the specific value of Y can be determined by RAN4</w:t>
            </w:r>
          </w:p>
          <w:p>
            <w:pPr>
              <w:snapToGrid w:val="0"/>
              <w:spacing w:before="180" w:beforeLines="50" w:after="120"/>
              <w:rPr>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7</w:t>
            </w:r>
            <w:r>
              <w:rPr>
                <w:rFonts w:hint="eastAsia"/>
                <w:sz w:val="20"/>
                <w:szCs w:val="20"/>
              </w:rPr>
              <w:fldChar w:fldCharType="end"/>
            </w:r>
            <w:r>
              <w:rPr>
                <w:rFonts w:hint="eastAsia"/>
                <w:sz w:val="20"/>
                <w:szCs w:val="20"/>
              </w:rPr>
              <w:t>: For PRS bandwidth aggregation between PRS in two or three different PFLs, the following condition is needed for the aggregated PRS resources:</w:t>
            </w:r>
          </w:p>
          <w:p>
            <w:pPr>
              <w:pStyle w:val="114"/>
              <w:snapToGrid w:val="0"/>
              <w:spacing w:before="180" w:beforeLines="50" w:after="120"/>
              <w:rPr>
                <w:sz w:val="20"/>
                <w:szCs w:val="20"/>
              </w:rPr>
            </w:pPr>
            <w:r>
              <w:rPr>
                <w:rFonts w:hint="eastAsia"/>
                <w:sz w:val="20"/>
                <w:szCs w:val="20"/>
              </w:rPr>
              <w:t>the gap size in the frequency domain between two aggregated PRS in the adjacent CCs should be no larger than X, where the specific value of X can be determined by RAN4</w:t>
            </w:r>
            <w:bookmarkEnd w:id="5"/>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sz w:val="20"/>
                <w:szCs w:val="20"/>
                <w:lang w:val="en-GB"/>
              </w:rPr>
            </w:pPr>
            <w:r>
              <w:rPr>
                <w:rFonts w:hint="eastAsia"/>
                <w:sz w:val="20"/>
                <w:szCs w:val="20"/>
                <w:lang w:val="en-GB"/>
              </w:rPr>
              <w:t>OPPO</w:t>
            </w:r>
          </w:p>
        </w:tc>
        <w:tc>
          <w:tcPr>
            <w:tcW w:w="8228" w:type="dxa"/>
          </w:tcPr>
          <w:p>
            <w:pPr>
              <w:pStyle w:val="112"/>
              <w:snapToGrid w:val="0"/>
              <w:spacing w:before="180" w:beforeLines="50" w:line="240" w:lineRule="auto"/>
              <w:rPr>
                <w:b w:val="0"/>
                <w:bCs w:val="0"/>
                <w:i w:val="0"/>
                <w:iCs w:val="0"/>
                <w:szCs w:val="20"/>
              </w:rPr>
            </w:pPr>
            <w:bookmarkStart w:id="7" w:name="_Hlk134566265"/>
            <w:r>
              <w:rPr>
                <w:rFonts w:hint="eastAsia"/>
                <w:b w:val="0"/>
                <w:bCs w:val="0"/>
                <w:i w:val="0"/>
                <w:iCs w:val="0"/>
                <w:szCs w:val="20"/>
              </w:rPr>
              <w:t>Proposal 1: Do not make any assumption on the antenna port of the aggregated PRS resources in different PFLs.</w:t>
            </w:r>
            <w:bookmarkEnd w:id="7"/>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46" w:hRule="atLeast"/>
        </w:trPr>
        <w:tc>
          <w:tcPr>
            <w:tcW w:w="1151" w:type="dxa"/>
          </w:tcPr>
          <w:p>
            <w:pPr>
              <w:tabs>
                <w:tab w:val="left" w:pos="1276"/>
              </w:tabs>
              <w:snapToGrid w:val="0"/>
              <w:spacing w:before="180" w:beforeLines="50" w:after="120"/>
              <w:rPr>
                <w:sz w:val="20"/>
                <w:szCs w:val="20"/>
                <w:lang w:val="en-GB"/>
              </w:rPr>
            </w:pPr>
            <w:r>
              <w:rPr>
                <w:rFonts w:hint="eastAsia"/>
                <w:sz w:val="20"/>
                <w:szCs w:val="20"/>
                <w:lang w:val="en-GB"/>
              </w:rPr>
              <w:t>Qualcomm</w:t>
            </w:r>
          </w:p>
        </w:tc>
        <w:tc>
          <w:tcPr>
            <w:tcW w:w="8228" w:type="dxa"/>
          </w:tcPr>
          <w:p>
            <w:pPr>
              <w:snapToGrid w:val="0"/>
              <w:spacing w:before="180" w:beforeLines="50" w:after="120"/>
              <w:rPr>
                <w:sz w:val="20"/>
                <w:szCs w:val="20"/>
              </w:rPr>
            </w:pPr>
            <w:r>
              <w:rPr>
                <w:rFonts w:hint="eastAsia"/>
                <w:sz w:val="20"/>
                <w:szCs w:val="20"/>
              </w:rPr>
              <w:t>Proposal 1: Support clarifying that “a same antenna port from RAN1 perspective” is assumed for the aggregated PRS resources of a TRP using the following text:</w:t>
            </w:r>
          </w:p>
          <w:p>
            <w:pPr>
              <w:pStyle w:val="193"/>
              <w:numPr>
                <w:ilvl w:val="0"/>
                <w:numId w:val="6"/>
              </w:numPr>
              <w:snapToGrid w:val="0"/>
              <w:spacing w:before="180" w:beforeLines="50" w:beforeAutospacing="0" w:after="120"/>
              <w:rPr>
                <w:sz w:val="20"/>
                <w:szCs w:val="20"/>
              </w:rPr>
            </w:pPr>
            <w:r>
              <w:rPr>
                <w:rFonts w:hint="eastAsia"/>
                <w:color w:val="000000"/>
                <w:sz w:val="20"/>
                <w:szCs w:val="20"/>
              </w:rPr>
              <w:t>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p>
            <w:pPr>
              <w:snapToGrid w:val="0"/>
              <w:spacing w:before="180" w:beforeLines="50" w:after="120"/>
              <w:rPr>
                <w:sz w:val="20"/>
                <w:szCs w:val="20"/>
              </w:rPr>
            </w:pPr>
            <w:r>
              <w:rPr>
                <w:rFonts w:hint="eastAsia"/>
                <w:sz w:val="20"/>
                <w:szCs w:val="20"/>
              </w:rPr>
              <w:t xml:space="preserve">Proposal 2: From RAN1 perspective, we prefer to avoid writing the expression/terminology “RF chains” in the RAN1 specification, and keep it contained within RAN4 specifications.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9" w:hRule="atLeast"/>
        </w:trPr>
        <w:tc>
          <w:tcPr>
            <w:tcW w:w="1151" w:type="dxa"/>
          </w:tcPr>
          <w:p>
            <w:pPr>
              <w:tabs>
                <w:tab w:val="left" w:pos="1276"/>
              </w:tabs>
              <w:snapToGrid w:val="0"/>
              <w:spacing w:before="180" w:beforeLines="50" w:after="120"/>
              <w:rPr>
                <w:sz w:val="20"/>
                <w:szCs w:val="20"/>
                <w:lang w:val="en-GB"/>
              </w:rPr>
            </w:pPr>
            <w:r>
              <w:rPr>
                <w:rFonts w:hint="eastAsia"/>
                <w:sz w:val="20"/>
                <w:szCs w:val="20"/>
                <w:lang w:val="en-GB"/>
              </w:rPr>
              <w:t>vivo</w:t>
            </w:r>
          </w:p>
        </w:tc>
        <w:tc>
          <w:tcPr>
            <w:tcW w:w="8228" w:type="dxa"/>
          </w:tcPr>
          <w:p>
            <w:pPr>
              <w:widowControl w:val="0"/>
              <w:snapToGrid w:val="0"/>
              <w:spacing w:before="180" w:beforeLines="50" w:after="120"/>
              <w:ind w:left="45"/>
              <w:jc w:val="both"/>
              <w:rPr>
                <w:rFonts w:eastAsiaTheme="minorEastAsia"/>
                <w:sz w:val="20"/>
                <w:szCs w:val="20"/>
              </w:rPr>
            </w:pPr>
            <w:bookmarkStart w:id="8" w:name="OLE_LINK9"/>
            <w:r>
              <w:rPr>
                <w:rFonts w:hint="eastAsia" w:eastAsiaTheme="minorEastAsia"/>
                <w:sz w:val="20"/>
                <w:szCs w:val="20"/>
              </w:rPr>
              <w:t>Proposal 1</w:t>
            </w:r>
          </w:p>
          <w:p>
            <w:pPr>
              <w:numPr>
                <w:ilvl w:val="0"/>
                <w:numId w:val="7"/>
              </w:numPr>
              <w:snapToGrid w:val="0"/>
              <w:spacing w:before="180" w:beforeLines="50" w:after="120"/>
              <w:jc w:val="both"/>
              <w:rPr>
                <w:rFonts w:eastAsia="宋体"/>
                <w:sz w:val="20"/>
                <w:szCs w:val="20"/>
              </w:rPr>
            </w:pPr>
            <w:bookmarkStart w:id="9" w:name="_Hlk131694169"/>
            <w:r>
              <w:rPr>
                <w:rFonts w:hint="eastAsia" w:eastAsia="宋体"/>
                <w:sz w:val="20"/>
                <w:szCs w:val="20"/>
              </w:rPr>
              <w:t>To enable PRS bandwidth aggregation between PRS in two or three different PFLs, the following additional conditions should be satisfied for the aggregated PRS resources from a TRP</w:t>
            </w:r>
          </w:p>
          <w:p>
            <w:pPr>
              <w:numPr>
                <w:ilvl w:val="1"/>
                <w:numId w:val="7"/>
              </w:numPr>
              <w:snapToGrid w:val="0"/>
              <w:spacing w:before="180" w:beforeLines="50" w:after="120"/>
              <w:jc w:val="both"/>
              <w:rPr>
                <w:rFonts w:eastAsia="宋体"/>
                <w:sz w:val="20"/>
                <w:szCs w:val="20"/>
              </w:rPr>
            </w:pPr>
            <w:r>
              <w:rPr>
                <w:rFonts w:hint="eastAsia" w:eastAsia="宋体"/>
                <w:sz w:val="20"/>
                <w:szCs w:val="20"/>
              </w:rPr>
              <w:t>The same antenna port</w:t>
            </w:r>
          </w:p>
          <w:p>
            <w:pPr>
              <w:numPr>
                <w:ilvl w:val="1"/>
                <w:numId w:val="7"/>
              </w:numPr>
              <w:snapToGrid w:val="0"/>
              <w:spacing w:before="180" w:beforeLines="50" w:after="120"/>
              <w:jc w:val="both"/>
              <w:rPr>
                <w:rFonts w:eastAsia="宋体"/>
                <w:sz w:val="20"/>
                <w:szCs w:val="20"/>
              </w:rPr>
            </w:pPr>
            <w:r>
              <w:rPr>
                <w:rFonts w:hint="eastAsia" w:eastAsia="宋体"/>
                <w:sz w:val="20"/>
                <w:szCs w:val="20"/>
              </w:rPr>
              <w:t>The same TEG ID</w:t>
            </w:r>
          </w:p>
          <w:p>
            <w:pPr>
              <w:numPr>
                <w:ilvl w:val="0"/>
                <w:numId w:val="7"/>
              </w:numPr>
              <w:snapToGrid w:val="0"/>
              <w:spacing w:before="180" w:beforeLines="50" w:after="120"/>
              <w:jc w:val="both"/>
              <w:rPr>
                <w:rFonts w:eastAsia="宋体"/>
                <w:sz w:val="20"/>
                <w:szCs w:val="20"/>
              </w:rPr>
            </w:pPr>
            <w:r>
              <w:rPr>
                <w:rFonts w:hint="eastAsia" w:eastAsia="宋体"/>
                <w:sz w:val="20"/>
                <w:szCs w:val="20"/>
              </w:rPr>
              <w:t>Phase/timing continuity between PFLs can be up to RAN4.</w:t>
            </w:r>
          </w:p>
          <w:bookmarkEnd w:id="9"/>
          <w:p>
            <w:pPr>
              <w:widowControl w:val="0"/>
              <w:snapToGrid w:val="0"/>
              <w:spacing w:before="180" w:beforeLines="50" w:after="120"/>
              <w:ind w:left="45"/>
              <w:jc w:val="both"/>
              <w:rPr>
                <w:rFonts w:eastAsia="宋体"/>
                <w:color w:val="000000"/>
                <w:kern w:val="2"/>
                <w:sz w:val="20"/>
                <w:szCs w:val="20"/>
              </w:rPr>
            </w:pPr>
            <w:bookmarkStart w:id="10" w:name="_Hlk131694175"/>
            <w:r>
              <w:rPr>
                <w:rFonts w:hint="eastAsia" w:eastAsia="宋体"/>
                <w:color w:val="000000"/>
                <w:kern w:val="2"/>
                <w:sz w:val="20"/>
                <w:szCs w:val="20"/>
              </w:rPr>
              <w:t>Proposal 2</w:t>
            </w:r>
          </w:p>
          <w:p>
            <w:pPr>
              <w:numPr>
                <w:ilvl w:val="0"/>
                <w:numId w:val="7"/>
              </w:numPr>
              <w:snapToGrid w:val="0"/>
              <w:spacing w:before="180" w:beforeLines="50" w:after="120"/>
              <w:jc w:val="both"/>
              <w:rPr>
                <w:rFonts w:eastAsia="宋体"/>
                <w:sz w:val="20"/>
                <w:szCs w:val="20"/>
              </w:rPr>
            </w:pPr>
            <w:r>
              <w:rPr>
                <w:rFonts w:hint="eastAsia" w:eastAsia="宋体"/>
                <w:sz w:val="20"/>
                <w:szCs w:val="20"/>
              </w:rPr>
              <w:t>To enable SRS bandwidth aggregation between SRS in two or three carriers, the following additional conditions should be satisfied for the aggregated SRS resources</w:t>
            </w:r>
          </w:p>
          <w:p>
            <w:pPr>
              <w:numPr>
                <w:ilvl w:val="1"/>
                <w:numId w:val="7"/>
              </w:numPr>
              <w:snapToGrid w:val="0"/>
              <w:spacing w:before="180" w:beforeLines="50" w:after="120"/>
              <w:jc w:val="both"/>
              <w:rPr>
                <w:rFonts w:eastAsia="宋体"/>
                <w:sz w:val="20"/>
                <w:szCs w:val="20"/>
              </w:rPr>
            </w:pPr>
            <w:r>
              <w:rPr>
                <w:rFonts w:hint="eastAsia" w:eastAsia="宋体"/>
                <w:sz w:val="20"/>
                <w:szCs w:val="20"/>
              </w:rPr>
              <w:t>The same antenna port</w:t>
            </w:r>
          </w:p>
          <w:p>
            <w:pPr>
              <w:numPr>
                <w:ilvl w:val="1"/>
                <w:numId w:val="7"/>
              </w:numPr>
              <w:snapToGrid w:val="0"/>
              <w:spacing w:before="180" w:beforeLines="50" w:after="120"/>
              <w:jc w:val="both"/>
              <w:rPr>
                <w:rFonts w:eastAsia="宋体"/>
                <w:sz w:val="20"/>
                <w:szCs w:val="20"/>
              </w:rPr>
            </w:pPr>
            <w:r>
              <w:rPr>
                <w:rFonts w:hint="eastAsia" w:eastAsia="宋体"/>
                <w:sz w:val="20"/>
                <w:szCs w:val="20"/>
              </w:rPr>
              <w:t>The same TEG ID</w:t>
            </w:r>
          </w:p>
          <w:p>
            <w:pPr>
              <w:numPr>
                <w:ilvl w:val="0"/>
                <w:numId w:val="7"/>
              </w:numPr>
              <w:snapToGrid w:val="0"/>
              <w:spacing w:before="180" w:beforeLines="50" w:after="120"/>
              <w:jc w:val="both"/>
              <w:rPr>
                <w:rFonts w:eastAsia="宋体"/>
                <w:sz w:val="20"/>
                <w:szCs w:val="20"/>
              </w:rPr>
            </w:pPr>
            <w:r>
              <w:rPr>
                <w:rFonts w:hint="eastAsia" w:eastAsia="宋体"/>
                <w:sz w:val="20"/>
                <w:szCs w:val="20"/>
              </w:rPr>
              <w:t>Phase/timing continuity between carriers can be up to RAN4</w:t>
            </w:r>
            <w:bookmarkEnd w:id="8"/>
            <w:bookmarkEnd w:id="1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sz w:val="20"/>
                <w:szCs w:val="20"/>
                <w:lang w:val="en-GB"/>
              </w:rPr>
            </w:pPr>
            <w:r>
              <w:rPr>
                <w:rFonts w:hint="eastAsia"/>
                <w:sz w:val="20"/>
                <w:szCs w:val="20"/>
                <w:lang w:val="en-GB"/>
              </w:rPr>
              <w:t>Ericsson</w:t>
            </w:r>
          </w:p>
        </w:tc>
        <w:tc>
          <w:tcPr>
            <w:tcW w:w="8228" w:type="dxa"/>
          </w:tcPr>
          <w:p>
            <w:pPr>
              <w:pStyle w:val="152"/>
              <w:tabs>
                <w:tab w:val="clear" w:pos="1701"/>
              </w:tabs>
              <w:snapToGrid w:val="0"/>
              <w:spacing w:before="180" w:beforeLines="50"/>
              <w:rPr>
                <w:rFonts w:ascii="Times New Roman" w:hAnsi="Times New Roman" w:eastAsia="宋体" w:cs="Times New Roman"/>
                <w:b w:val="0"/>
                <w:bCs w:val="0"/>
                <w:sz w:val="20"/>
                <w:szCs w:val="20"/>
              </w:rPr>
            </w:pPr>
            <w:r>
              <w:rPr>
                <w:rFonts w:hint="eastAsia" w:ascii="Times New Roman" w:hAnsi="Times New Roman" w:eastAsia="宋体" w:cs="Times New Roman"/>
                <w:b w:val="0"/>
                <w:bCs w:val="0"/>
                <w:sz w:val="20"/>
                <w:szCs w:val="20"/>
              </w:rPr>
              <w:t>Proposal 3:</w:t>
            </w:r>
          </w:p>
          <w:p>
            <w:pPr>
              <w:pStyle w:val="152"/>
              <w:snapToGrid w:val="0"/>
              <w:spacing w:before="180" w:beforeLines="50"/>
              <w:ind w:left="1304"/>
              <w:rPr>
                <w:rFonts w:ascii="Times New Roman" w:hAnsi="Times New Roman" w:eastAsia="宋体" w:cs="Times New Roman"/>
                <w:b w:val="0"/>
                <w:bCs w:val="0"/>
                <w:sz w:val="20"/>
                <w:szCs w:val="20"/>
              </w:rPr>
            </w:pPr>
            <w:bookmarkStart w:id="11" w:name="_Toc142658036"/>
            <w:r>
              <w:rPr>
                <w:rFonts w:hint="eastAsia" w:ascii="Times New Roman" w:hAnsi="Times New Roman" w:cs="Times New Roman"/>
                <w:b w:val="0"/>
                <w:bCs w:val="0"/>
                <w:sz w:val="20"/>
                <w:szCs w:val="20"/>
              </w:rPr>
              <w:t>For the feature of PRS bandwidth aggregation between PRSs in two or three different PFLs, do not support the condition of same antenna port from RAN1 perspective.</w:t>
            </w:r>
            <w:bookmarkEnd w:id="1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tcPr>
          <w:p>
            <w:pPr>
              <w:tabs>
                <w:tab w:val="left" w:pos="1276"/>
              </w:tabs>
              <w:snapToGrid w:val="0"/>
              <w:spacing w:before="180" w:beforeLines="50" w:after="120"/>
              <w:rPr>
                <w:rFonts w:eastAsia="宋体"/>
                <w:sz w:val="20"/>
                <w:szCs w:val="20"/>
              </w:rPr>
            </w:pPr>
            <w:r>
              <w:rPr>
                <w:rFonts w:hint="eastAsia" w:eastAsia="宋体"/>
                <w:sz w:val="20"/>
                <w:szCs w:val="20"/>
              </w:rPr>
              <w:t>RUIJIE</w:t>
            </w:r>
          </w:p>
          <w:p>
            <w:pPr>
              <w:tabs>
                <w:tab w:val="left" w:pos="1276"/>
              </w:tabs>
              <w:snapToGrid w:val="0"/>
              <w:spacing w:before="180" w:beforeLines="50" w:after="120"/>
              <w:rPr>
                <w:rFonts w:eastAsia="宋体"/>
                <w:sz w:val="20"/>
                <w:szCs w:val="20"/>
              </w:rPr>
            </w:pPr>
            <w:r>
              <w:rPr>
                <w:rFonts w:hint="eastAsia" w:eastAsia="宋体"/>
                <w:sz w:val="20"/>
                <w:szCs w:val="20"/>
              </w:rPr>
              <w:t>network</w:t>
            </w:r>
          </w:p>
        </w:tc>
        <w:tc>
          <w:tcPr>
            <w:tcW w:w="8228" w:type="dxa"/>
          </w:tcPr>
          <w:p>
            <w:pPr>
              <w:snapToGrid w:val="0"/>
              <w:spacing w:before="180" w:beforeLines="50" w:after="120"/>
              <w:rPr>
                <w:sz w:val="20"/>
                <w:szCs w:val="20"/>
              </w:rPr>
            </w:pPr>
            <w:r>
              <w:rPr>
                <w:rFonts w:hint="eastAsia"/>
                <w:sz w:val="20"/>
                <w:szCs w:val="20"/>
              </w:rPr>
              <w:t>Proposal 1: For PRS bandwidth aggregation between PRS in two or three different PFLs, same antenna port from RAN1 perspective is needed for the aggregated PRS resources for a TRP.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4" w:hRule="atLeast"/>
        </w:trPr>
        <w:tc>
          <w:tcPr>
            <w:tcW w:w="1151" w:type="dxa"/>
          </w:tcPr>
          <w:p>
            <w:pPr>
              <w:tabs>
                <w:tab w:val="left" w:pos="1276"/>
              </w:tabs>
              <w:snapToGrid w:val="0"/>
              <w:spacing w:before="180" w:beforeLines="50" w:after="120"/>
              <w:rPr>
                <w:sz w:val="20"/>
                <w:szCs w:val="20"/>
                <w:lang w:val="en-GB"/>
              </w:rPr>
            </w:pPr>
            <w:r>
              <w:rPr>
                <w:rFonts w:hint="eastAsia"/>
                <w:sz w:val="20"/>
                <w:szCs w:val="20"/>
                <w:lang w:val="en-GB"/>
              </w:rPr>
              <w:t>Intel</w:t>
            </w:r>
          </w:p>
        </w:tc>
        <w:tc>
          <w:tcPr>
            <w:tcW w:w="8228" w:type="dxa"/>
          </w:tcPr>
          <w:p>
            <w:pPr>
              <w:snapToGrid w:val="0"/>
              <w:spacing w:before="180" w:beforeLines="50" w:after="120"/>
              <w:jc w:val="both"/>
              <w:rPr>
                <w:sz w:val="20"/>
                <w:szCs w:val="20"/>
              </w:rPr>
            </w:pPr>
            <w:r>
              <w:rPr>
                <w:rFonts w:hint="eastAsia"/>
                <w:sz w:val="20"/>
                <w:szCs w:val="20"/>
              </w:rPr>
              <w:t>Proposal 1</w:t>
            </w:r>
          </w:p>
          <w:p>
            <w:pPr>
              <w:numPr>
                <w:ilvl w:val="0"/>
                <w:numId w:val="8"/>
              </w:numPr>
              <w:snapToGrid w:val="0"/>
              <w:spacing w:before="180" w:beforeLines="50" w:after="120"/>
              <w:ind w:left="288" w:hanging="288"/>
              <w:jc w:val="both"/>
              <w:rPr>
                <w:sz w:val="20"/>
                <w:szCs w:val="20"/>
              </w:rPr>
            </w:pPr>
            <w:r>
              <w:rPr>
                <w:rFonts w:hint="eastAsia"/>
                <w:sz w:val="20"/>
                <w:szCs w:val="20"/>
              </w:rPr>
              <w:t>To enable DL PRS bandwidth aggregation, the following condition should be satisfied:</w:t>
            </w:r>
          </w:p>
          <w:p>
            <w:pPr>
              <w:numPr>
                <w:ilvl w:val="0"/>
                <w:numId w:val="9"/>
              </w:numPr>
              <w:snapToGrid w:val="0"/>
              <w:spacing w:before="180" w:beforeLines="50" w:after="120"/>
              <w:jc w:val="both"/>
              <w:rPr>
                <w:sz w:val="20"/>
                <w:szCs w:val="20"/>
              </w:rPr>
            </w:pPr>
            <w:r>
              <w:rPr>
                <w:rFonts w:hint="eastAsia"/>
                <w:sz w:val="20"/>
                <w:szCs w:val="20"/>
              </w:rPr>
              <w:t>Same number of PRS resources in the linked PRS resource sets for a TRP.</w:t>
            </w:r>
          </w:p>
          <w:p>
            <w:pPr>
              <w:numPr>
                <w:ilvl w:val="0"/>
                <w:numId w:val="8"/>
              </w:numPr>
              <w:snapToGrid w:val="0"/>
              <w:spacing w:before="180" w:beforeLines="50" w:after="120"/>
              <w:ind w:left="288" w:hanging="288"/>
              <w:jc w:val="both"/>
              <w:rPr>
                <w:sz w:val="20"/>
                <w:szCs w:val="20"/>
              </w:rPr>
            </w:pPr>
            <w:r>
              <w:rPr>
                <w:rFonts w:hint="eastAsia"/>
                <w:sz w:val="20"/>
                <w:szCs w:val="20"/>
              </w:rPr>
              <w:t>Condition on “same antenna port” in RAN1 specifications to enable DL PRS bandwidth aggregation would not be accurate representation of the RAN4 request.</w:t>
            </w:r>
          </w:p>
          <w:p>
            <w:pPr>
              <w:numPr>
                <w:ilvl w:val="0"/>
                <w:numId w:val="9"/>
              </w:numPr>
              <w:snapToGrid w:val="0"/>
              <w:spacing w:before="180" w:beforeLines="50" w:after="120"/>
              <w:jc w:val="both"/>
              <w:rPr>
                <w:sz w:val="20"/>
                <w:szCs w:val="20"/>
              </w:rPr>
            </w:pPr>
            <w:r>
              <w:rPr>
                <w:rFonts w:hint="eastAsia"/>
                <w:sz w:val="20"/>
                <w:szCs w:val="20"/>
              </w:rPr>
              <w:t>Send a reply LS to RAN4 sharing that the assumption on phase continuity (which is relevant to the RAN4 request) is already captured in RAN1 specifications and that the conditions stating “single RF chain” may be best captured in RAN4 specifications if deemed essential by RAN4.</w:t>
            </w:r>
          </w:p>
          <w:p>
            <w:pPr>
              <w:snapToGrid w:val="0"/>
              <w:spacing w:before="180" w:beforeLines="50" w:after="120"/>
              <w:jc w:val="both"/>
              <w:rPr>
                <w:sz w:val="20"/>
                <w:szCs w:val="20"/>
              </w:rPr>
            </w:pPr>
            <w:r>
              <w:rPr>
                <w:rFonts w:hint="eastAsia"/>
                <w:sz w:val="20"/>
                <w:szCs w:val="20"/>
              </w:rPr>
              <w:t>Proposal 3</w:t>
            </w:r>
          </w:p>
          <w:p>
            <w:pPr>
              <w:numPr>
                <w:ilvl w:val="0"/>
                <w:numId w:val="8"/>
              </w:numPr>
              <w:snapToGrid w:val="0"/>
              <w:spacing w:before="180" w:beforeLines="50" w:after="120"/>
              <w:ind w:left="288" w:hanging="288"/>
              <w:jc w:val="both"/>
              <w:rPr>
                <w:sz w:val="20"/>
                <w:szCs w:val="20"/>
              </w:rPr>
            </w:pPr>
            <w:r>
              <w:rPr>
                <w:rFonts w:hint="eastAsia"/>
                <w:sz w:val="20"/>
                <w:szCs w:val="20"/>
              </w:rPr>
              <w:t>To enable SRS bandwidth aggregation, the following condition should be satisfied:</w:t>
            </w:r>
          </w:p>
          <w:p>
            <w:pPr>
              <w:numPr>
                <w:ilvl w:val="0"/>
                <w:numId w:val="9"/>
              </w:numPr>
              <w:snapToGrid w:val="0"/>
              <w:spacing w:before="180" w:beforeLines="50" w:after="120"/>
              <w:jc w:val="both"/>
              <w:rPr>
                <w:sz w:val="20"/>
                <w:szCs w:val="20"/>
              </w:rPr>
            </w:pPr>
            <w:r>
              <w:rPr>
                <w:rFonts w:hint="eastAsia"/>
                <w:sz w:val="20"/>
                <w:szCs w:val="20"/>
              </w:rPr>
              <w:t>Same number of SRS resources in the linked SRS resource set.</w:t>
            </w:r>
          </w:p>
          <w:p>
            <w:pPr>
              <w:numPr>
                <w:ilvl w:val="0"/>
                <w:numId w:val="8"/>
              </w:numPr>
              <w:snapToGrid w:val="0"/>
              <w:spacing w:before="180" w:beforeLines="50" w:after="120"/>
              <w:ind w:left="288" w:hanging="288"/>
              <w:jc w:val="both"/>
              <w:rPr>
                <w:sz w:val="20"/>
                <w:szCs w:val="20"/>
              </w:rPr>
            </w:pPr>
            <w:r>
              <w:rPr>
                <w:rFonts w:hint="eastAsia"/>
                <w:sz w:val="20"/>
                <w:szCs w:val="20"/>
              </w:rPr>
              <w:t>Condition on “same antenna port” in RAN1 specifications to enable SRS bandwidth aggregation would not be accurate representation of the RAN4 request.</w:t>
            </w:r>
          </w:p>
          <w:p>
            <w:pPr>
              <w:numPr>
                <w:ilvl w:val="0"/>
                <w:numId w:val="9"/>
              </w:numPr>
              <w:snapToGrid w:val="0"/>
              <w:spacing w:before="180" w:beforeLines="50" w:after="120"/>
              <w:jc w:val="both"/>
              <w:rPr>
                <w:sz w:val="20"/>
                <w:szCs w:val="20"/>
              </w:rPr>
            </w:pPr>
            <w:r>
              <w:rPr>
                <w:rFonts w:hint="eastAsia"/>
                <w:sz w:val="20"/>
                <w:szCs w:val="20"/>
              </w:rPr>
              <w:t>Send a reply LS to RAN4 sharing that the assumption on phase continuity (which is relevant to the RAN4 request) is already captured in RAN1 specifications and that the conditions stating “single RF chain” may be best captured in RAN4 specifications if deemed essential by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9" w:hRule="atLeast"/>
        </w:trPr>
        <w:tc>
          <w:tcPr>
            <w:tcW w:w="1151" w:type="dxa"/>
          </w:tcPr>
          <w:p>
            <w:pPr>
              <w:tabs>
                <w:tab w:val="left" w:pos="1276"/>
              </w:tabs>
              <w:snapToGrid w:val="0"/>
              <w:spacing w:before="180" w:beforeLines="50" w:after="120"/>
              <w:rPr>
                <w:sz w:val="20"/>
                <w:szCs w:val="20"/>
                <w:lang w:val="en-GB"/>
              </w:rPr>
            </w:pPr>
            <w:r>
              <w:rPr>
                <w:rFonts w:hint="eastAsia" w:eastAsiaTheme="minorEastAsia"/>
                <w:sz w:val="20"/>
                <w:szCs w:val="20"/>
                <w:lang w:val="en-GB"/>
              </w:rPr>
              <w:t>CATT</w:t>
            </w:r>
          </w:p>
        </w:tc>
        <w:tc>
          <w:tcPr>
            <w:tcW w:w="8228" w:type="dxa"/>
          </w:tcPr>
          <w:p>
            <w:pPr>
              <w:snapToGrid w:val="0"/>
              <w:spacing w:before="180" w:beforeLines="50" w:after="120"/>
              <w:jc w:val="both"/>
              <w:rPr>
                <w:sz w:val="20"/>
                <w:szCs w:val="20"/>
              </w:rPr>
            </w:pPr>
            <w:bookmarkStart w:id="12" w:name="O1"/>
            <w:r>
              <w:rPr>
                <w:rFonts w:hint="eastAsia"/>
                <w:sz w:val="20"/>
                <w:szCs w:val="20"/>
              </w:rPr>
              <w:t>Observation 1: TS 38.211 has specified only one antenna port for transmitting DL PRS resources. It is unnecessary and also confusion to add the aggregated DL PRS resources are transmitted from the “same antenna port from RAN1's perspective”.</w:t>
            </w:r>
          </w:p>
          <w:bookmarkEnd w:id="12"/>
          <w:p>
            <w:pPr>
              <w:snapToGrid w:val="0"/>
              <w:spacing w:before="180" w:beforeLines="50" w:after="120"/>
              <w:jc w:val="both"/>
              <w:rPr>
                <w:sz w:val="20"/>
                <w:szCs w:val="20"/>
              </w:rPr>
            </w:pPr>
            <w:bookmarkStart w:id="13" w:name="P1"/>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MERGEFORMAT </w:instrText>
            </w:r>
            <w:r>
              <w:rPr>
                <w:rFonts w:hint="eastAsia"/>
                <w:sz w:val="20"/>
                <w:szCs w:val="20"/>
              </w:rPr>
              <w:fldChar w:fldCharType="separate"/>
            </w:r>
            <w:r>
              <w:rPr>
                <w:rFonts w:hint="eastAsia"/>
                <w:sz w:val="20"/>
                <w:szCs w:val="20"/>
              </w:rPr>
              <w:t>1</w:t>
            </w:r>
            <w:r>
              <w:rPr>
                <w:rFonts w:hint="eastAsia"/>
                <w:sz w:val="20"/>
                <w:szCs w:val="20"/>
              </w:rPr>
              <w:fldChar w:fldCharType="end"/>
            </w:r>
            <w:r>
              <w:rPr>
                <w:rFonts w:hint="eastAsia" w:eastAsiaTheme="minorEastAsia"/>
                <w:sz w:val="20"/>
                <w:szCs w:val="20"/>
              </w:rPr>
              <w:t>:</w:t>
            </w:r>
            <w:r>
              <w:rPr>
                <w:rFonts w:hint="eastAsia"/>
                <w:sz w:val="20"/>
                <w:szCs w:val="20"/>
              </w:rPr>
              <w:t xml:space="preserve"> </w:t>
            </w:r>
            <w:r>
              <w:rPr>
                <w:rFonts w:hint="eastAsia" w:eastAsia="宋体"/>
                <w:sz w:val="20"/>
                <w:szCs w:val="20"/>
              </w:rPr>
              <w:t>Capture the following in TS 38.214</w:t>
            </w:r>
            <w:r>
              <w:rPr>
                <w:rFonts w:hint="eastAsia"/>
                <w:sz w:val="20"/>
                <w:szCs w:val="20"/>
              </w:rPr>
              <w:t>:</w:t>
            </w:r>
          </w:p>
          <w:p>
            <w:pPr>
              <w:pStyle w:val="139"/>
              <w:numPr>
                <w:ilvl w:val="0"/>
                <w:numId w:val="10"/>
              </w:numPr>
              <w:snapToGrid w:val="0"/>
              <w:spacing w:before="180" w:beforeLines="50" w:after="120"/>
              <w:jc w:val="both"/>
              <w:rPr>
                <w:sz w:val="20"/>
              </w:rPr>
            </w:pPr>
            <w:r>
              <w:rPr>
                <w:rFonts w:hint="eastAsia"/>
                <w:sz w:val="20"/>
              </w:rPr>
              <w:t xml:space="preserve">PRS/SRS resources to be aggregated are transmitted by TRP/UE from intra-band contiguous carriers using single RF chain (same </w:t>
            </w:r>
            <w:r>
              <w:rPr>
                <w:rFonts w:hint="eastAsia"/>
                <w:color w:val="FF0000"/>
                <w:sz w:val="20"/>
              </w:rPr>
              <w:t xml:space="preserve">physical </w:t>
            </w:r>
            <w:r>
              <w:rPr>
                <w:rFonts w:hint="eastAsia"/>
                <w:sz w:val="20"/>
              </w:rPr>
              <w:t>antenna).</w:t>
            </w:r>
          </w:p>
          <w:p>
            <w:pPr>
              <w:pStyle w:val="139"/>
              <w:numPr>
                <w:ilvl w:val="0"/>
                <w:numId w:val="10"/>
              </w:numPr>
              <w:snapToGrid w:val="0"/>
              <w:spacing w:before="180" w:beforeLines="50" w:after="120"/>
              <w:jc w:val="both"/>
              <w:rPr>
                <w:sz w:val="20"/>
              </w:rPr>
            </w:pPr>
            <w:r>
              <w:rPr>
                <w:rFonts w:hint="eastAsia"/>
                <w:sz w:val="20"/>
              </w:rPr>
              <w:t xml:space="preserve">PRS/SRS resources to be aggregated are received by UE/TRP using single RF chain (same </w:t>
            </w:r>
            <w:r>
              <w:rPr>
                <w:rFonts w:hint="eastAsia"/>
                <w:color w:val="FF0000"/>
                <w:sz w:val="20"/>
              </w:rPr>
              <w:t xml:space="preserve">physical </w:t>
            </w:r>
            <w:r>
              <w:rPr>
                <w:rFonts w:hint="eastAsia"/>
                <w:sz w:val="20"/>
              </w:rPr>
              <w:t>antenna).</w:t>
            </w:r>
            <w:bookmarkEnd w:id="1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8" w:hRule="atLeast"/>
        </w:trPr>
        <w:tc>
          <w:tcPr>
            <w:tcW w:w="1151" w:type="dxa"/>
          </w:tcPr>
          <w:p>
            <w:pPr>
              <w:tabs>
                <w:tab w:val="left" w:pos="1276"/>
              </w:tabs>
              <w:snapToGrid w:val="0"/>
              <w:spacing w:before="180" w:beforeLines="50" w:after="120"/>
              <w:rPr>
                <w:sz w:val="20"/>
                <w:szCs w:val="20"/>
                <w:lang w:val="en-GB"/>
              </w:rPr>
            </w:pPr>
            <w:r>
              <w:rPr>
                <w:rFonts w:hint="eastAsia"/>
                <w:sz w:val="20"/>
                <w:szCs w:val="20"/>
                <w:lang w:val="en-GB"/>
              </w:rPr>
              <w:t>CMCC</w:t>
            </w:r>
          </w:p>
        </w:tc>
        <w:tc>
          <w:tcPr>
            <w:tcW w:w="8228" w:type="dxa"/>
          </w:tcPr>
          <w:p>
            <w:pPr>
              <w:pStyle w:val="144"/>
              <w:snapToGrid w:val="0"/>
              <w:spacing w:before="180" w:beforeLines="50" w:line="240" w:lineRule="auto"/>
              <w:rPr>
                <w:sz w:val="20"/>
                <w:szCs w:val="20"/>
                <w:lang w:val="en-GB"/>
              </w:rPr>
            </w:pPr>
            <w:r>
              <w:rPr>
                <w:rFonts w:hint="eastAsia"/>
                <w:sz w:val="20"/>
                <w:szCs w:val="20"/>
                <w:lang w:val="en-GB"/>
              </w:rPr>
              <w:t>Proposal 1: To enable PRS bandwidth aggregation between PRS in two or three different PFLs, the following conditions should be further satisfied for the aggregated PRS resources from a TRP across the aggregated PFLs:</w:t>
            </w:r>
          </w:p>
          <w:p>
            <w:pPr>
              <w:pStyle w:val="144"/>
              <w:numPr>
                <w:ilvl w:val="0"/>
                <w:numId w:val="11"/>
              </w:numPr>
              <w:snapToGrid w:val="0"/>
              <w:spacing w:before="180" w:beforeLines="50" w:line="240" w:lineRule="auto"/>
              <w:ind w:left="709"/>
              <w:rPr>
                <w:sz w:val="20"/>
                <w:szCs w:val="20"/>
                <w:lang w:val="en-GB"/>
              </w:rPr>
            </w:pPr>
            <w:r>
              <w:rPr>
                <w:rFonts w:hint="eastAsia"/>
                <w:sz w:val="20"/>
                <w:szCs w:val="20"/>
                <w:lang w:val="en-GB"/>
              </w:rPr>
              <w:t>The same number of PRS resources per linked resource set for a TRP</w:t>
            </w:r>
          </w:p>
          <w:p>
            <w:pPr>
              <w:pStyle w:val="144"/>
              <w:numPr>
                <w:ilvl w:val="0"/>
                <w:numId w:val="11"/>
              </w:numPr>
              <w:snapToGrid w:val="0"/>
              <w:spacing w:before="180" w:beforeLines="50" w:line="240" w:lineRule="auto"/>
              <w:ind w:left="709"/>
              <w:rPr>
                <w:sz w:val="20"/>
                <w:szCs w:val="20"/>
                <w:lang w:val="en-GB"/>
              </w:rPr>
            </w:pPr>
            <w:r>
              <w:rPr>
                <w:rFonts w:hint="eastAsia"/>
                <w:sz w:val="20"/>
                <w:szCs w:val="20"/>
                <w:lang w:val="en-GB"/>
              </w:rPr>
              <w:t>The same antenna port from RAN1 perspective</w:t>
            </w:r>
          </w:p>
          <w:p>
            <w:pPr>
              <w:snapToGrid w:val="0"/>
              <w:spacing w:before="180" w:beforeLines="50" w:after="120"/>
              <w:jc w:val="both"/>
              <w:rPr>
                <w:rFonts w:eastAsia="宋体"/>
                <w:sz w:val="20"/>
                <w:szCs w:val="20"/>
              </w:rPr>
            </w:pPr>
            <w:r>
              <w:rPr>
                <w:rFonts w:hint="eastAsia"/>
                <w:sz w:val="20"/>
                <w:szCs w:val="20"/>
              </w:rPr>
              <w:t>Proposal 5: To enable SRS bandwidth aggregation between SRS in two or three carriers, the following conditions should be further satisfied for the aggregated SRS resources across the aggregated carriers:</w:t>
            </w:r>
          </w:p>
          <w:p>
            <w:pPr>
              <w:pStyle w:val="144"/>
              <w:numPr>
                <w:ilvl w:val="0"/>
                <w:numId w:val="11"/>
              </w:numPr>
              <w:snapToGrid w:val="0"/>
              <w:spacing w:before="180" w:beforeLines="50" w:line="240" w:lineRule="auto"/>
              <w:ind w:left="709"/>
              <w:rPr>
                <w:sz w:val="20"/>
                <w:szCs w:val="20"/>
              </w:rPr>
            </w:pPr>
            <w:r>
              <w:rPr>
                <w:rFonts w:hint="eastAsia"/>
                <w:sz w:val="20"/>
                <w:szCs w:val="20"/>
                <w:lang w:val="en-GB"/>
              </w:rPr>
              <w:t>The same number of SRS resources per a linked SRS resource 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tcPr>
          <w:p>
            <w:pPr>
              <w:tabs>
                <w:tab w:val="left" w:pos="1276"/>
              </w:tabs>
              <w:snapToGrid w:val="0"/>
              <w:spacing w:before="180" w:beforeLines="50" w:after="120"/>
              <w:rPr>
                <w:sz w:val="20"/>
                <w:szCs w:val="20"/>
                <w:lang w:val="en-GB"/>
              </w:rPr>
            </w:pPr>
            <w:r>
              <w:rPr>
                <w:rFonts w:hint="eastAsia" w:eastAsia="宋体"/>
                <w:sz w:val="20"/>
                <w:szCs w:val="20"/>
              </w:rPr>
              <w:t>x</w:t>
            </w:r>
            <w:r>
              <w:rPr>
                <w:rFonts w:hint="eastAsia"/>
                <w:sz w:val="20"/>
                <w:szCs w:val="20"/>
                <w:lang w:val="en-GB"/>
              </w:rPr>
              <w:t>iaomi</w:t>
            </w:r>
          </w:p>
        </w:tc>
        <w:tc>
          <w:tcPr>
            <w:tcW w:w="8228" w:type="dxa"/>
          </w:tcPr>
          <w:p>
            <w:pPr>
              <w:pStyle w:val="114"/>
              <w:snapToGrid w:val="0"/>
              <w:spacing w:before="180" w:beforeLines="50" w:after="120"/>
              <w:rPr>
                <w:sz w:val="20"/>
                <w:szCs w:val="20"/>
              </w:rPr>
            </w:pPr>
            <w:r>
              <w:rPr>
                <w:rFonts w:hint="eastAsia"/>
                <w:sz w:val="20"/>
                <w:szCs w:val="20"/>
              </w:rPr>
              <w:t>Proposal 2: Support same PRS sequence ID for PRS across the aggregated PFLs.</w:t>
            </w:r>
          </w:p>
          <w:p>
            <w:pPr>
              <w:pStyle w:val="114"/>
              <w:snapToGrid w:val="0"/>
              <w:spacing w:before="180" w:beforeLines="50" w:after="120"/>
              <w:rPr>
                <w:sz w:val="20"/>
                <w:szCs w:val="20"/>
              </w:rPr>
            </w:pPr>
            <w:r>
              <w:rPr>
                <w:rFonts w:hint="eastAsia"/>
                <w:sz w:val="20"/>
                <w:szCs w:val="20"/>
              </w:rPr>
              <w:t>Proposal 8: Support same SRS sequence ID for SRS across the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3" w:hRule="atLeast"/>
        </w:trPr>
        <w:tc>
          <w:tcPr>
            <w:tcW w:w="1151" w:type="dxa"/>
            <w:vAlign w:val="center"/>
          </w:tcPr>
          <w:p>
            <w:pPr>
              <w:tabs>
                <w:tab w:val="left" w:pos="1276"/>
              </w:tabs>
              <w:snapToGrid w:val="0"/>
              <w:spacing w:before="180" w:beforeLines="50" w:after="120"/>
              <w:rPr>
                <w:sz w:val="20"/>
                <w:szCs w:val="20"/>
              </w:rPr>
            </w:pPr>
            <w:r>
              <w:rPr>
                <w:rFonts w:hint="eastAsia"/>
                <w:sz w:val="20"/>
                <w:szCs w:val="20"/>
              </w:rPr>
              <w:t>Apple</w:t>
            </w:r>
          </w:p>
        </w:tc>
        <w:tc>
          <w:tcPr>
            <w:tcW w:w="8228" w:type="dxa"/>
            <w:vAlign w:val="center"/>
          </w:tcPr>
          <w:p>
            <w:pPr>
              <w:tabs>
                <w:tab w:val="left" w:pos="640"/>
              </w:tabs>
              <w:snapToGrid w:val="0"/>
              <w:spacing w:before="180" w:beforeLines="50" w:after="120"/>
              <w:jc w:val="both"/>
              <w:rPr>
                <w:sz w:val="20"/>
                <w:szCs w:val="20"/>
              </w:rPr>
            </w:pPr>
            <w:r>
              <w:rPr>
                <w:rFonts w:hint="eastAsia"/>
                <w:sz w:val="20"/>
                <w:szCs w:val="20"/>
              </w:rPr>
              <w:t xml:space="preserve">Proposal 1: For PRS bandwidth aggregation, the  following additional conditions should be satisfied: </w:t>
            </w:r>
          </w:p>
          <w:p>
            <w:pPr>
              <w:pStyle w:val="134"/>
              <w:numPr>
                <w:ilvl w:val="0"/>
                <w:numId w:val="12"/>
              </w:numPr>
              <w:snapToGrid w:val="0"/>
              <w:spacing w:before="180" w:beforeLines="50" w:after="120"/>
              <w:rPr>
                <w:sz w:val="20"/>
                <w:szCs w:val="20"/>
              </w:rPr>
            </w:pPr>
            <w:r>
              <w:rPr>
                <w:rFonts w:hint="eastAsia"/>
                <w:sz w:val="20"/>
                <w:szCs w:val="20"/>
              </w:rPr>
              <w:t>It is not necessary to have the same number of PRS resource sets and resources for a TRP.</w:t>
            </w:r>
          </w:p>
          <w:p>
            <w:pPr>
              <w:pStyle w:val="134"/>
              <w:numPr>
                <w:ilvl w:val="0"/>
                <w:numId w:val="12"/>
              </w:numPr>
              <w:snapToGrid w:val="0"/>
              <w:spacing w:before="180" w:beforeLines="50" w:after="120"/>
              <w:rPr>
                <w:sz w:val="20"/>
                <w:szCs w:val="20"/>
              </w:rPr>
            </w:pPr>
            <w:r>
              <w:rPr>
                <w:rFonts w:hint="eastAsia"/>
                <w:sz w:val="20"/>
                <w:szCs w:val="20"/>
              </w:rPr>
              <w:t>It is not necessary to have the same antenna port from a RAN1 perspective.</w:t>
            </w:r>
          </w:p>
          <w:p>
            <w:pPr>
              <w:pStyle w:val="134"/>
              <w:numPr>
                <w:ilvl w:val="0"/>
                <w:numId w:val="12"/>
              </w:numPr>
              <w:snapToGrid w:val="0"/>
              <w:spacing w:before="180" w:beforeLines="50" w:after="120"/>
              <w:rPr>
                <w:sz w:val="20"/>
                <w:szCs w:val="20"/>
              </w:rPr>
            </w:pPr>
            <w:r>
              <w:rPr>
                <w:rFonts w:hint="eastAsia"/>
                <w:sz w:val="20"/>
                <w:szCs w:val="20"/>
              </w:rPr>
              <w:t>The condition that the gNB Tx TEG and UE Rx TEG should be the same is not needed</w:t>
            </w:r>
          </w:p>
          <w:p>
            <w:pPr>
              <w:snapToGrid w:val="0"/>
              <w:spacing w:before="180" w:beforeLines="50"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151" w:type="dxa"/>
            <w:vAlign w:val="center"/>
          </w:tcPr>
          <w:p>
            <w:pPr>
              <w:tabs>
                <w:tab w:val="left" w:pos="1276"/>
              </w:tabs>
              <w:snapToGrid w:val="0"/>
              <w:spacing w:before="180" w:beforeLines="50" w:after="120"/>
              <w:rPr>
                <w:rFonts w:eastAsia="宋体"/>
                <w:sz w:val="20"/>
                <w:szCs w:val="20"/>
              </w:rPr>
            </w:pPr>
            <w:r>
              <w:rPr>
                <w:rFonts w:hint="eastAsia" w:eastAsia="宋体"/>
                <w:sz w:val="20"/>
                <w:szCs w:val="20"/>
              </w:rPr>
              <w:t>Nokia</w:t>
            </w:r>
          </w:p>
        </w:tc>
        <w:tc>
          <w:tcPr>
            <w:tcW w:w="8228" w:type="dxa"/>
            <w:vAlign w:val="center"/>
          </w:tcPr>
          <w:p>
            <w:pPr>
              <w:snapToGrid w:val="0"/>
              <w:spacing w:before="180" w:beforeLines="50" w:after="120"/>
              <w:rPr>
                <w:sz w:val="20"/>
                <w:szCs w:val="20"/>
              </w:rPr>
            </w:pPr>
            <w:r>
              <w:rPr>
                <w:rFonts w:hint="eastAsia"/>
                <w:sz w:val="20"/>
                <w:szCs w:val="20"/>
              </w:rPr>
              <w:t>Observation 1: The current configuration restriction is enough to support DL PRS bandwidth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9" w:hRule="atLeast"/>
        </w:trPr>
        <w:tc>
          <w:tcPr>
            <w:tcW w:w="1151" w:type="dxa"/>
            <w:vAlign w:val="center"/>
          </w:tcPr>
          <w:p>
            <w:pPr>
              <w:tabs>
                <w:tab w:val="left" w:pos="1276"/>
              </w:tabs>
              <w:snapToGrid w:val="0"/>
              <w:spacing w:before="180" w:beforeLines="50" w:after="120"/>
              <w:rPr>
                <w:sz w:val="20"/>
                <w:szCs w:val="20"/>
              </w:rPr>
            </w:pPr>
            <w:r>
              <w:rPr>
                <w:rFonts w:hint="eastAsia"/>
                <w:sz w:val="20"/>
                <w:szCs w:val="20"/>
              </w:rPr>
              <w:t>ZTE</w:t>
            </w:r>
          </w:p>
        </w:tc>
        <w:tc>
          <w:tcPr>
            <w:tcW w:w="8228" w:type="dxa"/>
            <w:vAlign w:val="center"/>
          </w:tcPr>
          <w:p>
            <w:pPr>
              <w:snapToGrid w:val="0"/>
              <w:spacing w:before="180" w:beforeLines="50" w:after="120"/>
              <w:jc w:val="both"/>
              <w:rPr>
                <w:rFonts w:eastAsia="宋体"/>
                <w:color w:val="000000"/>
                <w:sz w:val="20"/>
                <w:szCs w:val="20"/>
                <w:lang w:bidi="ar"/>
              </w:rPr>
            </w:pPr>
            <w:r>
              <w:rPr>
                <w:rFonts w:hint="eastAsia"/>
                <w:sz w:val="20"/>
                <w:szCs w:val="20"/>
              </w:rPr>
              <w:t xml:space="preserve">Proposal 1: With regard to </w:t>
            </w:r>
            <w:r>
              <w:rPr>
                <w:rFonts w:hint="eastAsia" w:eastAsia="MS Mincho"/>
                <w:sz w:val="20"/>
                <w:szCs w:val="20"/>
                <w:lang w:bidi="ar"/>
              </w:rPr>
              <w:t xml:space="preserve">RAN4’s reply LS </w:t>
            </w:r>
            <w:r>
              <w:rPr>
                <w:rFonts w:hint="eastAsia" w:eastAsia="MS Mincho"/>
                <w:sz w:val="20"/>
                <w:szCs w:val="20"/>
                <w:lang w:eastAsia="en-US" w:bidi="ar"/>
              </w:rPr>
              <w:t>R4-2310076</w:t>
            </w:r>
            <w:r>
              <w:rPr>
                <w:rFonts w:hint="eastAsia" w:eastAsia="MS Mincho"/>
                <w:sz w:val="20"/>
                <w:szCs w:val="20"/>
                <w:lang w:bidi="ar"/>
              </w:rPr>
              <w:t xml:space="preserve"> (</w:t>
            </w:r>
            <w:r>
              <w:rPr>
                <w:rFonts w:hint="eastAsia" w:eastAsia="MS Mincho"/>
                <w:sz w:val="20"/>
                <w:szCs w:val="20"/>
                <w:lang w:eastAsia="en-US" w:bidi="ar"/>
              </w:rPr>
              <w:t>R1-2306363</w:t>
            </w:r>
            <w:r>
              <w:rPr>
                <w:rFonts w:hint="eastAsia" w:eastAsia="MS Mincho"/>
                <w:sz w:val="20"/>
                <w:szCs w:val="20"/>
                <w:lang w:bidi="ar"/>
              </w:rPr>
              <w:t>), RAN1 specifies the condition of ‘</w:t>
            </w:r>
            <w:r>
              <w:rPr>
                <w:rFonts w:hint="eastAsia" w:eastAsia="Arial"/>
                <w:color w:val="000000"/>
                <w:sz w:val="20"/>
                <w:szCs w:val="20"/>
                <w:lang w:eastAsia="en-US" w:bidi="ar"/>
              </w:rPr>
              <w:t>single RF chain (same antenna)</w:t>
            </w:r>
            <w:r>
              <w:rPr>
                <w:rFonts w:hint="eastAsia" w:eastAsia="宋体"/>
                <w:color w:val="000000"/>
                <w:sz w:val="20"/>
                <w:szCs w:val="20"/>
                <w:lang w:bidi="ar"/>
              </w:rPr>
              <w:t xml:space="preserve">’ for PRS/SRS aggregation from UE perspective. </w:t>
            </w:r>
          </w:p>
          <w:p>
            <w:pPr>
              <w:pStyle w:val="139"/>
              <w:numPr>
                <w:ilvl w:val="0"/>
                <w:numId w:val="13"/>
              </w:numPr>
              <w:snapToGrid w:val="0"/>
              <w:spacing w:before="180" w:beforeLines="50" w:after="120"/>
              <w:rPr>
                <w:sz w:val="20"/>
              </w:rPr>
            </w:pPr>
            <w:r>
              <w:rPr>
                <w:rFonts w:hint="eastAsia" w:eastAsiaTheme="minorEastAsia"/>
                <w:sz w:val="20"/>
                <w:lang w:eastAsia="zh-CN"/>
              </w:rPr>
              <w:t>Note: The condition of ‘the same antenna port’ will not be specified.</w:t>
            </w:r>
          </w:p>
        </w:tc>
      </w:tr>
    </w:tbl>
    <w:p>
      <w:pPr>
        <w:snapToGrid w:val="0"/>
        <w:spacing w:before="180" w:beforeLines="50" w:after="180" w:afterLines="50"/>
        <w:jc w:val="both"/>
        <w:rPr>
          <w:iCs/>
          <w:sz w:val="20"/>
          <w:szCs w:val="20"/>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rPr>
                <w:rFonts w:cs="Times"/>
                <w:b/>
                <w:bCs/>
                <w:sz w:val="20"/>
                <w:szCs w:val="20"/>
                <w:u w:val="single"/>
              </w:rPr>
            </w:pPr>
            <w:r>
              <w:rPr>
                <w:rFonts w:hint="eastAsia" w:cs="Times"/>
                <w:b/>
                <w:bCs/>
                <w:sz w:val="20"/>
                <w:szCs w:val="20"/>
                <w:u w:val="single"/>
              </w:rPr>
              <w:t>Agreement</w:t>
            </w:r>
          </w:p>
          <w:p>
            <w:pPr>
              <w:snapToGrid w:val="0"/>
              <w:rPr>
                <w:rFonts w:cs="Times"/>
                <w:b/>
                <w:bCs/>
                <w:sz w:val="20"/>
                <w:szCs w:val="20"/>
                <w:u w:val="single"/>
              </w:rPr>
            </w:pPr>
            <w:bookmarkStart w:id="14" w:name="OLE_LINK29"/>
            <w:r>
              <w:rPr>
                <w:rFonts w:hint="eastAsia" w:cs="Times"/>
                <w:bCs/>
                <w:sz w:val="20"/>
                <w:szCs w:val="20"/>
              </w:rPr>
              <w:t>For PRS bandwidth aggregation between PRS in two or three different PFLs</w:t>
            </w:r>
            <w:bookmarkEnd w:id="14"/>
            <w:r>
              <w:rPr>
                <w:rFonts w:hint="eastAsia" w:cs="Times"/>
                <w:bCs/>
                <w:sz w:val="20"/>
                <w:szCs w:val="20"/>
              </w:rPr>
              <w:t xml:space="preserve">, the following are </w:t>
            </w:r>
            <w:bookmarkStart w:id="15" w:name="OLE_LINK30"/>
            <w:r>
              <w:rPr>
                <w:rFonts w:hint="eastAsia" w:cs="Times"/>
                <w:bCs/>
                <w:sz w:val="20"/>
                <w:szCs w:val="20"/>
              </w:rPr>
              <w:t xml:space="preserve">needed for the aggregated PRS resources </w:t>
            </w:r>
            <w:r>
              <w:rPr>
                <w:rFonts w:hint="eastAsia" w:eastAsia="宋体"/>
                <w:bCs/>
                <w:sz w:val="20"/>
                <w:szCs w:val="20"/>
              </w:rPr>
              <w:t xml:space="preserve">for </w:t>
            </w:r>
            <w:r>
              <w:rPr>
                <w:rFonts w:hint="eastAsia" w:cs="Times"/>
                <w:bCs/>
                <w:sz w:val="20"/>
                <w:szCs w:val="20"/>
              </w:rPr>
              <w:t>a TRP</w:t>
            </w:r>
            <w:bookmarkEnd w:id="15"/>
            <w:r>
              <w:rPr>
                <w:rFonts w:hint="eastAsia" w:cs="Times"/>
                <w:bCs/>
                <w:sz w:val="20"/>
                <w:szCs w:val="20"/>
              </w:rPr>
              <w:t>:</w:t>
            </w:r>
          </w:p>
          <w:p>
            <w:pPr>
              <w:numPr>
                <w:ilvl w:val="0"/>
                <w:numId w:val="14"/>
              </w:numPr>
              <w:snapToGrid w:val="0"/>
              <w:spacing w:before="100" w:beforeAutospacing="1"/>
              <w:contextualSpacing/>
              <w:jc w:val="both"/>
              <w:rPr>
                <w:rFonts w:eastAsia="宋体" w:cs="Times"/>
                <w:sz w:val="20"/>
                <w:szCs w:val="20"/>
              </w:rPr>
            </w:pPr>
            <w:r>
              <w:rPr>
                <w:rFonts w:hint="eastAsia" w:cs="Times"/>
                <w:sz w:val="20"/>
                <w:szCs w:val="20"/>
              </w:rPr>
              <w:t>The same periodicity and slot offset</w:t>
            </w:r>
          </w:p>
          <w:p>
            <w:pPr>
              <w:numPr>
                <w:ilvl w:val="0"/>
                <w:numId w:val="14"/>
              </w:numPr>
              <w:snapToGrid w:val="0"/>
              <w:spacing w:before="100" w:beforeAutospacing="1"/>
              <w:contextualSpacing/>
              <w:jc w:val="both"/>
              <w:rPr>
                <w:rFonts w:eastAsia="宋体" w:cs="Times"/>
                <w:sz w:val="20"/>
                <w:szCs w:val="20"/>
              </w:rPr>
            </w:pPr>
            <w:r>
              <w:rPr>
                <w:rFonts w:hint="eastAsia" w:cs="Times"/>
                <w:sz w:val="20"/>
                <w:szCs w:val="20"/>
              </w:rPr>
              <w:t>The same muting pattern</w:t>
            </w:r>
          </w:p>
          <w:p>
            <w:pPr>
              <w:numPr>
                <w:ilvl w:val="0"/>
                <w:numId w:val="14"/>
              </w:numPr>
              <w:snapToGrid w:val="0"/>
              <w:spacing w:before="100" w:beforeAutospacing="1"/>
              <w:contextualSpacing/>
              <w:jc w:val="both"/>
              <w:rPr>
                <w:rFonts w:eastAsia="Malgun Gothic" w:cs="Times"/>
                <w:sz w:val="20"/>
                <w:szCs w:val="20"/>
              </w:rPr>
            </w:pPr>
            <w:r>
              <w:rPr>
                <w:rFonts w:hint="eastAsia" w:cs="Times"/>
                <w:sz w:val="20"/>
                <w:szCs w:val="20"/>
              </w:rPr>
              <w:t xml:space="preserve">The same </w:t>
            </w:r>
            <w:r>
              <w:rPr>
                <w:rFonts w:hint="eastAsia" w:cs="Times"/>
                <w:i/>
                <w:iCs/>
                <w:sz w:val="20"/>
                <w:szCs w:val="20"/>
              </w:rPr>
              <w:t>NR-DL-PRS-SFN0-Offset</w:t>
            </w:r>
            <w:r>
              <w:rPr>
                <w:rFonts w:hint="eastAsia" w:cs="Times"/>
                <w:sz w:val="20"/>
                <w:szCs w:val="20"/>
              </w:rPr>
              <w:t xml:space="preserve"> value</w:t>
            </w:r>
          </w:p>
          <w:p>
            <w:pPr>
              <w:numPr>
                <w:ilvl w:val="0"/>
                <w:numId w:val="14"/>
              </w:numPr>
              <w:snapToGrid w:val="0"/>
              <w:spacing w:before="120"/>
              <w:ind w:hanging="363"/>
              <w:contextualSpacing/>
              <w:jc w:val="both"/>
              <w:rPr>
                <w:rFonts w:eastAsia="宋体"/>
                <w:sz w:val="20"/>
                <w:szCs w:val="20"/>
              </w:rPr>
            </w:pPr>
            <w:r>
              <w:rPr>
                <w:rFonts w:hint="eastAsia" w:eastAsia="宋体"/>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14"/>
              </w:numPr>
              <w:snapToGrid w:val="0"/>
              <w:spacing w:before="120"/>
              <w:ind w:hanging="363"/>
              <w:contextualSpacing/>
              <w:jc w:val="both"/>
              <w:rPr>
                <w:rFonts w:eastAsia="宋体"/>
                <w:sz w:val="20"/>
                <w:szCs w:val="20"/>
              </w:rPr>
            </w:pPr>
            <w:r>
              <w:rPr>
                <w:rFonts w:hint="eastAsia" w:cs="Times"/>
                <w:sz w:val="20"/>
                <w:szCs w:val="20"/>
              </w:rPr>
              <w:t xml:space="preserve">FFS </w:t>
            </w:r>
            <w:r>
              <w:rPr>
                <w:rFonts w:hint="eastAsia"/>
                <w:sz w:val="20"/>
                <w:szCs w:val="20"/>
              </w:rPr>
              <w:t>same antenna port from RAN1 perspective</w:t>
            </w:r>
          </w:p>
          <w:p>
            <w:pPr>
              <w:snapToGrid w:val="0"/>
              <w:contextualSpacing/>
              <w:jc w:val="both"/>
              <w:rPr>
                <w:rFonts w:eastAsia="宋体"/>
                <w:sz w:val="20"/>
                <w:szCs w:val="20"/>
              </w:rPr>
            </w:pPr>
          </w:p>
        </w:tc>
      </w:tr>
    </w:tbl>
    <w:p>
      <w:pPr>
        <w:snapToGrid w:val="0"/>
        <w:rPr>
          <w:sz w:val="20"/>
          <w:szCs w:val="20"/>
        </w:rPr>
      </w:pPr>
    </w:p>
    <w:p>
      <w:pPr>
        <w:snapToGrid w:val="0"/>
        <w:rPr>
          <w:rFonts w:eastAsia="宋体"/>
          <w:sz w:val="20"/>
          <w:szCs w:val="20"/>
        </w:rPr>
      </w:pPr>
    </w:p>
    <w:p>
      <w:pPr>
        <w:pStyle w:val="39"/>
        <w:numPr>
          <w:ilvl w:val="1"/>
          <w:numId w:val="3"/>
        </w:numPr>
        <w:snapToGrid w:val="0"/>
        <w:spacing w:before="180" w:after="180" w:line="240" w:lineRule="auto"/>
        <w:ind w:left="578" w:hanging="578"/>
      </w:pPr>
      <w:bookmarkStart w:id="16" w:name="OLE_LINK2"/>
      <w:r>
        <w:rPr>
          <w:rFonts w:hint="eastAsia" w:ascii="Arial" w:hAnsi="Arial" w:eastAsia="宋体" w:cs="Arial"/>
          <w:sz w:val="24"/>
          <w:szCs w:val="24"/>
        </w:rPr>
        <w:t>Same antenna port vs. RAN4 LS R1-2306363</w:t>
      </w:r>
      <w:bookmarkEnd w:id="16"/>
      <w:r>
        <w:rPr>
          <w:rFonts w:hint="eastAsia" w:ascii="Arial" w:hAnsi="Arial" w:eastAsia="宋体" w:cs="Arial"/>
          <w:sz w:val="24"/>
          <w:szCs w:val="24"/>
        </w:rPr>
        <w:t xml:space="preserve"> (closed)</w:t>
      </w: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eastAsia="宋体"/>
          <w:b/>
          <w:bCs/>
          <w:sz w:val="20"/>
          <w:szCs w:val="20"/>
        </w:rPr>
      </w:pPr>
      <w:r>
        <w:rPr>
          <w:rFonts w:eastAsia="宋体"/>
          <w:b/>
          <w:bCs/>
          <w:sz w:val="20"/>
          <w:szCs w:val="20"/>
        </w:rPr>
        <w:t xml:space="preserve">FL comment: </w:t>
      </w:r>
    </w:p>
    <w:p>
      <w:pPr>
        <w:rPr>
          <w:sz w:val="20"/>
          <w:szCs w:val="20"/>
        </w:rPr>
      </w:pPr>
      <w:r>
        <w:rPr>
          <w:rFonts w:hint="eastAsia" w:eastAsia="宋体"/>
          <w:sz w:val="20"/>
          <w:szCs w:val="20"/>
        </w:rPr>
        <w:t>T</w:t>
      </w:r>
      <w:r>
        <w:rPr>
          <w:sz w:val="20"/>
          <w:szCs w:val="20"/>
        </w:rPr>
        <w:t>here is a related LS from RAN4 (R4-2310076</w:t>
      </w:r>
      <w:r>
        <w:rPr>
          <w:rFonts w:hint="eastAsia" w:eastAsia="宋体"/>
          <w:sz w:val="20"/>
          <w:szCs w:val="20"/>
        </w:rPr>
        <w:t>/R1-2306363</w:t>
      </w:r>
      <w:r>
        <w:rPr>
          <w:sz w:val="20"/>
          <w:szCs w:val="20"/>
        </w:rPr>
        <w:t xml:space="preserve">) with the following request to RAN1: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eastAsia="Arial"/>
                <w:color w:val="000000" w:themeColor="text1"/>
                <w:sz w:val="20"/>
                <w:szCs w:val="20"/>
                <w14:textFill>
                  <w14:solidFill>
                    <w14:schemeClr w14:val="tx1"/>
                  </w14:solidFill>
                </w14:textFill>
              </w:rPr>
            </w:pPr>
            <w:r>
              <w:rPr>
                <w:rFonts w:hint="eastAsia" w:eastAsia="Arial"/>
                <w:color w:val="000000" w:themeColor="text1"/>
                <w:sz w:val="20"/>
                <w:szCs w:val="20"/>
                <w14:textFill>
                  <w14:solidFill>
                    <w14:schemeClr w14:val="tx1"/>
                  </w14:solidFill>
                </w14:textFill>
              </w:rPr>
              <w:t>In addition, RAN4 would like to request RAN1 to capture bandwidth aggregation procedure for positioning measurement based on the conditions below in one of the relevant RAN1 specifications.</w:t>
            </w:r>
          </w:p>
          <w:p>
            <w:pPr>
              <w:pStyle w:val="139"/>
              <w:numPr>
                <w:ilvl w:val="0"/>
                <w:numId w:val="15"/>
              </w:numPr>
              <w:spacing w:after="120" w:line="259" w:lineRule="auto"/>
              <w:contextualSpacing w:val="0"/>
              <w:rPr>
                <w:rFonts w:eastAsia="Arial"/>
                <w:color w:val="000000" w:themeColor="text1"/>
                <w:sz w:val="20"/>
                <w14:textFill>
                  <w14:solidFill>
                    <w14:schemeClr w14:val="tx1"/>
                  </w14:solidFill>
                </w14:textFill>
              </w:rPr>
            </w:pPr>
            <w:r>
              <w:rPr>
                <w:rFonts w:hint="eastAsia" w:eastAsia="Arial"/>
                <w:color w:val="000000" w:themeColor="text1"/>
                <w:sz w:val="20"/>
                <w14:textFill>
                  <w14:solidFill>
                    <w14:schemeClr w14:val="tx1"/>
                  </w14:solidFill>
                </w14:textFill>
              </w:rPr>
              <w:t>PRS/SRS resources to be aggregated are transmitted by TRP/UE from intra-band contiguous carriers using single RF chain (same antenna).</w:t>
            </w:r>
          </w:p>
          <w:p>
            <w:pPr>
              <w:pStyle w:val="139"/>
              <w:numPr>
                <w:ilvl w:val="0"/>
                <w:numId w:val="15"/>
              </w:numPr>
              <w:spacing w:after="120" w:line="259" w:lineRule="auto"/>
              <w:contextualSpacing w:val="0"/>
              <w:rPr>
                <w:sz w:val="20"/>
                <w:lang w:eastAsia="zh-CN"/>
              </w:rPr>
            </w:pPr>
            <w:r>
              <w:rPr>
                <w:rFonts w:hint="eastAsia" w:eastAsia="Arial"/>
                <w:color w:val="000000" w:themeColor="text1"/>
                <w:sz w:val="20"/>
                <w14:textFill>
                  <w14:solidFill>
                    <w14:schemeClr w14:val="tx1"/>
                  </w14:solidFill>
                </w14:textFill>
              </w:rPr>
              <w:t xml:space="preserve">PRS/SRS resources to be aggregated are received by UE/TRP using single RF chain (same antenna). </w:t>
            </w:r>
          </w:p>
        </w:tc>
      </w:tr>
    </w:tbl>
    <w:p>
      <w:pPr>
        <w:pStyle w:val="139"/>
        <w:snapToGrid w:val="0"/>
        <w:spacing w:before="180"/>
        <w:ind w:left="0"/>
        <w:jc w:val="both"/>
        <w:rPr>
          <w:bCs/>
          <w:sz w:val="20"/>
          <w:lang w:eastAsia="zh-CN"/>
        </w:rPr>
      </w:pPr>
      <w:r>
        <w:rPr>
          <w:rFonts w:hint="eastAsia"/>
          <w:bCs/>
          <w:sz w:val="20"/>
          <w:lang w:eastAsia="zh-CN"/>
        </w:rPr>
        <w:t xml:space="preserve">After reviewing all tdocs, some companies think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should be specified from RAN1 perspective for transmission because the same antenna port can represent the same the ground-truth CIRs, and the condition of </w:t>
      </w:r>
      <w:r>
        <w:rPr>
          <w:bCs/>
          <w:sz w:val="20"/>
          <w:lang w:eastAsia="zh-CN"/>
        </w:rPr>
        <w:t>‘</w:t>
      </w:r>
      <w:r>
        <w:rPr>
          <w:rFonts w:hint="eastAsia"/>
          <w:bCs/>
          <w:sz w:val="20"/>
          <w:lang w:eastAsia="zh-CN"/>
        </w:rPr>
        <w:t>the same RF chain (same antenna)</w:t>
      </w:r>
      <w:r>
        <w:rPr>
          <w:bCs/>
          <w:sz w:val="20"/>
          <w:lang w:eastAsia="zh-CN"/>
        </w:rPr>
        <w:t>’</w:t>
      </w:r>
      <w:r>
        <w:rPr>
          <w:rFonts w:hint="eastAsia"/>
          <w:bCs/>
          <w:sz w:val="20"/>
          <w:lang w:eastAsia="zh-CN"/>
        </w:rPr>
        <w:t xml:space="preserve"> should be captured in RAN4 specification as RAN1 usually doesn</w:t>
      </w:r>
      <w:r>
        <w:rPr>
          <w:bCs/>
          <w:sz w:val="20"/>
          <w:lang w:eastAsia="zh-CN"/>
        </w:rPr>
        <w:t>’</w:t>
      </w:r>
      <w:r>
        <w:rPr>
          <w:rFonts w:hint="eastAsia"/>
          <w:bCs/>
          <w:sz w:val="20"/>
          <w:lang w:eastAsia="zh-CN"/>
        </w:rPr>
        <w:t>t describe the UE Rx behavior for hardware. However, some other companies don</w:t>
      </w:r>
      <w:r>
        <w:rPr>
          <w:bCs/>
          <w:sz w:val="20"/>
          <w:lang w:eastAsia="zh-CN"/>
        </w:rPr>
        <w:t>’</w:t>
      </w:r>
      <w:r>
        <w:rPr>
          <w:rFonts w:hint="eastAsia"/>
          <w:bCs/>
          <w:sz w:val="20"/>
          <w:lang w:eastAsia="zh-CN"/>
        </w:rPr>
        <w:t xml:space="preserve">t think </w:t>
      </w:r>
      <w:r>
        <w:rPr>
          <w:bCs/>
          <w:sz w:val="20"/>
          <w:lang w:eastAsia="zh-CN"/>
        </w:rPr>
        <w:t>‘</w:t>
      </w:r>
      <w:r>
        <w:rPr>
          <w:rFonts w:hint="eastAsia"/>
          <w:bCs/>
          <w:sz w:val="20"/>
          <w:lang w:eastAsia="zh-CN"/>
        </w:rPr>
        <w:t>the antenna port</w:t>
      </w:r>
      <w:r>
        <w:rPr>
          <w:bCs/>
          <w:sz w:val="20"/>
          <w:lang w:eastAsia="zh-CN"/>
        </w:rPr>
        <w:t>’</w:t>
      </w:r>
      <w:r>
        <w:rPr>
          <w:rFonts w:hint="eastAsia"/>
          <w:bCs/>
          <w:sz w:val="20"/>
          <w:lang w:eastAsia="zh-CN"/>
        </w:rPr>
        <w:t xml:space="preserve"> definition is suitable for bandwidth aggregation case. Companies</w:t>
      </w:r>
      <w:r>
        <w:rPr>
          <w:bCs/>
          <w:sz w:val="20"/>
          <w:lang w:eastAsia="zh-CN"/>
        </w:rPr>
        <w:t>’</w:t>
      </w:r>
      <w:r>
        <w:rPr>
          <w:rFonts w:hint="eastAsia"/>
          <w:bCs/>
          <w:sz w:val="20"/>
          <w:lang w:eastAsia="zh-CN"/>
        </w:rPr>
        <w:t xml:space="preserve"> views are summarized as below:</w:t>
      </w:r>
    </w:p>
    <w:p>
      <w:pPr>
        <w:pStyle w:val="139"/>
        <w:snapToGrid w:val="0"/>
        <w:spacing w:before="180"/>
        <w:ind w:left="0"/>
        <w:jc w:val="both"/>
        <w:rPr>
          <w:bCs/>
          <w:sz w:val="20"/>
          <w:lang w:eastAsia="zh-CN"/>
        </w:rPr>
      </w:pPr>
    </w:p>
    <w:p>
      <w:pPr>
        <w:pStyle w:val="139"/>
        <w:numPr>
          <w:ilvl w:val="0"/>
          <w:numId w:val="16"/>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in RAN1 specification</w:t>
      </w:r>
    </w:p>
    <w:p>
      <w:pPr>
        <w:pStyle w:val="139"/>
        <w:numPr>
          <w:ilvl w:val="1"/>
          <w:numId w:val="17"/>
        </w:numPr>
        <w:snapToGrid w:val="0"/>
        <w:spacing w:before="180"/>
        <w:jc w:val="both"/>
        <w:rPr>
          <w:bCs/>
          <w:sz w:val="20"/>
          <w:lang w:eastAsia="zh-CN"/>
        </w:rPr>
      </w:pPr>
      <w:r>
        <w:rPr>
          <w:rFonts w:hint="eastAsia"/>
          <w:bCs/>
          <w:sz w:val="20"/>
          <w:lang w:eastAsia="zh-CN"/>
        </w:rPr>
        <w:t xml:space="preserve">Yes: Vivo, Huawei, Qualcomm, CMCC, </w:t>
      </w:r>
      <w:r>
        <w:rPr>
          <w:rFonts w:hint="eastAsia"/>
          <w:sz w:val="20"/>
          <w:lang w:eastAsia="zh-CN"/>
        </w:rPr>
        <w:t>RUIJIE network</w:t>
      </w:r>
    </w:p>
    <w:p>
      <w:pPr>
        <w:pStyle w:val="139"/>
        <w:numPr>
          <w:ilvl w:val="1"/>
          <w:numId w:val="17"/>
        </w:numPr>
        <w:snapToGrid w:val="0"/>
        <w:spacing w:before="180"/>
        <w:jc w:val="both"/>
        <w:rPr>
          <w:bCs/>
          <w:sz w:val="20"/>
          <w:lang w:eastAsia="zh-CN"/>
        </w:rPr>
      </w:pPr>
      <w:r>
        <w:rPr>
          <w:rFonts w:hint="eastAsia"/>
          <w:bCs/>
          <w:sz w:val="20"/>
          <w:lang w:eastAsia="zh-CN"/>
        </w:rPr>
        <w:t>No: Ericsson, Intel, CATT, Apple, OPPO, Nokia</w:t>
      </w:r>
    </w:p>
    <w:p>
      <w:pPr>
        <w:pStyle w:val="139"/>
        <w:snapToGrid w:val="0"/>
        <w:spacing w:before="180"/>
        <w:ind w:left="0"/>
        <w:jc w:val="both"/>
        <w:rPr>
          <w:bCs/>
          <w:sz w:val="20"/>
          <w:lang w:eastAsia="zh-CN"/>
        </w:rPr>
      </w:pPr>
    </w:p>
    <w:p>
      <w:pPr>
        <w:pStyle w:val="139"/>
        <w:numPr>
          <w:ilvl w:val="0"/>
          <w:numId w:val="17"/>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RF chain (same antenna)</w:t>
      </w:r>
      <w:r>
        <w:rPr>
          <w:bCs/>
          <w:sz w:val="20"/>
          <w:lang w:eastAsia="zh-CN"/>
        </w:rPr>
        <w:t>’</w:t>
      </w:r>
      <w:r>
        <w:rPr>
          <w:rFonts w:hint="eastAsia"/>
          <w:bCs/>
          <w:sz w:val="20"/>
          <w:lang w:eastAsia="zh-CN"/>
        </w:rPr>
        <w:t xml:space="preserve"> in RAN1 specification as RAN4 requested</w:t>
      </w:r>
    </w:p>
    <w:p>
      <w:pPr>
        <w:pStyle w:val="139"/>
        <w:numPr>
          <w:ilvl w:val="1"/>
          <w:numId w:val="17"/>
        </w:numPr>
        <w:snapToGrid w:val="0"/>
        <w:spacing w:before="180"/>
        <w:jc w:val="both"/>
        <w:rPr>
          <w:bCs/>
          <w:sz w:val="20"/>
          <w:lang w:eastAsia="zh-CN"/>
        </w:rPr>
      </w:pPr>
      <w:r>
        <w:rPr>
          <w:rFonts w:hint="eastAsia"/>
          <w:bCs/>
          <w:sz w:val="20"/>
          <w:lang w:eastAsia="zh-CN"/>
        </w:rPr>
        <w:t>Yes: ZTE, CATT</w:t>
      </w:r>
    </w:p>
    <w:p>
      <w:pPr>
        <w:pStyle w:val="139"/>
        <w:numPr>
          <w:ilvl w:val="1"/>
          <w:numId w:val="17"/>
        </w:numPr>
        <w:snapToGrid w:val="0"/>
        <w:spacing w:before="180"/>
        <w:jc w:val="both"/>
        <w:rPr>
          <w:bCs/>
          <w:sz w:val="20"/>
          <w:lang w:eastAsia="zh-CN"/>
        </w:rPr>
      </w:pPr>
      <w:r>
        <w:rPr>
          <w:rFonts w:hint="eastAsia"/>
          <w:bCs/>
          <w:sz w:val="20"/>
          <w:lang w:eastAsia="zh-CN"/>
        </w:rPr>
        <w:t xml:space="preserve">No (Reply LS, and request RAN4 to capture the condition in RAN4 specification </w:t>
      </w:r>
    </w:p>
    <w:p>
      <w:pPr>
        <w:pStyle w:val="139"/>
        <w:numPr>
          <w:ilvl w:val="2"/>
          <w:numId w:val="17"/>
        </w:numPr>
        <w:snapToGrid w:val="0"/>
        <w:spacing w:before="180"/>
        <w:jc w:val="both"/>
        <w:rPr>
          <w:bCs/>
          <w:sz w:val="20"/>
          <w:lang w:eastAsia="zh-CN"/>
        </w:rPr>
      </w:pPr>
      <w:r>
        <w:rPr>
          <w:rFonts w:hint="eastAsia"/>
          <w:bCs/>
          <w:sz w:val="20"/>
          <w:lang w:eastAsia="zh-CN"/>
        </w:rPr>
        <w:t>Qualcomm, Intel, Huawei</w:t>
      </w:r>
    </w:p>
    <w:p>
      <w:pPr>
        <w:pStyle w:val="139"/>
        <w:snapToGrid w:val="0"/>
        <w:spacing w:before="180"/>
        <w:ind w:left="0"/>
        <w:jc w:val="both"/>
        <w:rPr>
          <w:bCs/>
          <w:sz w:val="20"/>
          <w:lang w:eastAsia="zh-CN"/>
        </w:rPr>
      </w:pPr>
    </w:p>
    <w:p>
      <w:pPr>
        <w:pStyle w:val="139"/>
        <w:snapToGrid w:val="0"/>
        <w:spacing w:before="180"/>
        <w:ind w:left="0"/>
        <w:jc w:val="both"/>
        <w:rPr>
          <w:bCs/>
          <w:sz w:val="20"/>
          <w:lang w:eastAsia="zh-CN"/>
        </w:rPr>
      </w:pPr>
      <w:r>
        <w:rPr>
          <w:rFonts w:hint="eastAsia"/>
          <w:bCs/>
          <w:sz w:val="20"/>
          <w:lang w:eastAsia="zh-CN"/>
        </w:rPr>
        <w:t>FL thinks the options can be listed below for further down-selection</w:t>
      </w:r>
    </w:p>
    <w:p>
      <w:pPr>
        <w:snapToGrid w:val="0"/>
        <w:jc w:val="both"/>
        <w:rPr>
          <w:rFonts w:ascii="Times" w:hAnsi="Times" w:cs="Times"/>
          <w:b/>
          <w:bCs/>
          <w:sz w:val="20"/>
          <w:szCs w:val="20"/>
        </w:rPr>
      </w:pP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Proposal 2.</w:t>
      </w:r>
      <w:r>
        <w:rPr>
          <w:rFonts w:ascii="Times" w:hAnsi="Times" w:eastAsia="宋体" w:cs="Times"/>
          <w:b/>
          <w:bCs/>
          <w:sz w:val="20"/>
          <w:szCs w:val="20"/>
        </w:rPr>
        <w:t>1</w:t>
      </w:r>
      <w:r>
        <w:rPr>
          <w:rFonts w:ascii="Times" w:hAnsi="Times" w:cs="Times"/>
          <w:b/>
          <w:bCs/>
          <w:sz w:val="20"/>
          <w:szCs w:val="20"/>
        </w:rPr>
        <w:t>-1</w:t>
      </w:r>
    </w:p>
    <w:p>
      <w:pPr>
        <w:snapToGrid w:val="0"/>
        <w:jc w:val="both"/>
        <w:rPr>
          <w:rFonts w:ascii="Times" w:hAnsi="Times" w:cs="Times"/>
          <w:b/>
          <w:bCs/>
          <w:sz w:val="20"/>
          <w:szCs w:val="20"/>
        </w:rPr>
      </w:pPr>
      <w:bookmarkStart w:id="17" w:name="OLE_LINK33"/>
      <w:r>
        <w:rPr>
          <w:rFonts w:ascii="Times" w:hAnsi="Times" w:cs="Times"/>
          <w:sz w:val="20"/>
        </w:rPr>
        <w:t>For PRS/SRS bandwidth aggregation between two or three different PFLs/carriers</w:t>
      </w:r>
      <w:bookmarkEnd w:id="17"/>
      <w:r>
        <w:rPr>
          <w:rFonts w:ascii="Times" w:hAnsi="Times" w:cs="Times"/>
          <w:sz w:val="20"/>
        </w:rPr>
        <w:t>, select one of the following alternatives:</w:t>
      </w:r>
    </w:p>
    <w:p>
      <w:pPr>
        <w:pStyle w:val="139"/>
        <w:numPr>
          <w:ilvl w:val="0"/>
          <w:numId w:val="18"/>
        </w:numPr>
        <w:snapToGrid w:val="0"/>
        <w:jc w:val="both"/>
        <w:rPr>
          <w:rFonts w:ascii="Times" w:hAnsi="Times" w:cs="Times"/>
          <w:sz w:val="20"/>
          <w:lang w:eastAsia="zh-CN"/>
        </w:rPr>
      </w:pPr>
      <w:bookmarkStart w:id="18" w:name="OLE_LINK32"/>
      <w:r>
        <w:rPr>
          <w:rFonts w:ascii="Times" w:hAnsi="Times" w:cs="Times"/>
          <w:sz w:val="20"/>
          <w:lang w:eastAsia="zh-CN"/>
        </w:rPr>
        <w:t xml:space="preserve">Alt.1: </w:t>
      </w:r>
      <w:r>
        <w:rPr>
          <w:rFonts w:ascii="Times" w:hAnsi="Times" w:cs="Times"/>
          <w:sz w:val="20"/>
        </w:rPr>
        <w:t xml:space="preserve">the aggregated </w:t>
      </w:r>
      <w:r>
        <w:rPr>
          <w:rFonts w:ascii="Times" w:hAnsi="Times" w:cs="Times"/>
          <w:sz w:val="20"/>
          <w:lang w:eastAsia="zh-CN"/>
        </w:rPr>
        <w:t>PRS/SRS</w:t>
      </w:r>
      <w:r>
        <w:rPr>
          <w:rFonts w:ascii="Times" w:hAnsi="Times" w:cs="Times"/>
          <w:sz w:val="20"/>
        </w:rPr>
        <w:t xml:space="preserve"> resources should have the </w:t>
      </w:r>
      <w:r>
        <w:rPr>
          <w:rFonts w:ascii="Times" w:hAnsi="Times" w:cs="Times"/>
          <w:sz w:val="20"/>
          <w:lang w:eastAsia="zh-CN"/>
        </w:rPr>
        <w:t>same antenna port from RAN1 perspective</w:t>
      </w:r>
    </w:p>
    <w:p>
      <w:pPr>
        <w:pStyle w:val="139"/>
        <w:numPr>
          <w:ilvl w:val="1"/>
          <w:numId w:val="18"/>
        </w:numPr>
        <w:snapToGrid w:val="0"/>
        <w:jc w:val="both"/>
        <w:rPr>
          <w:rFonts w:ascii="Times" w:hAnsi="Times" w:cs="Times"/>
          <w:sz w:val="20"/>
          <w:lang w:eastAsia="zh-CN"/>
        </w:rPr>
      </w:pPr>
      <w:bookmarkStart w:id="19" w:name="OLE_LINK8"/>
      <w:r>
        <w:rPr>
          <w:rFonts w:ascii="Times" w:hAnsi="Times" w:cs="Times"/>
          <w:sz w:val="20"/>
          <w:lang w:eastAsia="zh-CN"/>
        </w:rPr>
        <w:t xml:space="preserve">Send an reply LS to request RAN4 to capture the condition of </w:t>
      </w:r>
      <w:r>
        <w:rPr>
          <w:rFonts w:ascii="Times" w:hAnsi="Times" w:cs="Times"/>
          <w:bCs/>
          <w:sz w:val="20"/>
          <w:lang w:eastAsia="zh-CN"/>
        </w:rPr>
        <w:t>‘the same RF chain (same antenna)’ in RAN4 specification</w:t>
      </w:r>
    </w:p>
    <w:bookmarkEnd w:id="18"/>
    <w:bookmarkEnd w:id="19"/>
    <w:p>
      <w:pPr>
        <w:pStyle w:val="139"/>
        <w:numPr>
          <w:ilvl w:val="0"/>
          <w:numId w:val="18"/>
        </w:numPr>
        <w:snapToGrid w:val="0"/>
        <w:jc w:val="both"/>
        <w:rPr>
          <w:rFonts w:ascii="Times" w:hAnsi="Times" w:cs="Times"/>
          <w:sz w:val="20"/>
          <w:lang w:eastAsia="zh-CN"/>
        </w:rPr>
      </w:pPr>
      <w:r>
        <w:rPr>
          <w:rFonts w:ascii="Times" w:hAnsi="Times" w:cs="Times"/>
          <w:sz w:val="20"/>
          <w:lang w:eastAsia="zh-CN"/>
        </w:rPr>
        <w:t xml:space="preserve">Alt.2: </w:t>
      </w:r>
      <w:r>
        <w:rPr>
          <w:rFonts w:ascii="Times" w:hAnsi="Times" w:cs="Times"/>
          <w:sz w:val="20"/>
        </w:rPr>
        <w:t xml:space="preserve">the aggregated </w:t>
      </w:r>
      <w:r>
        <w:rPr>
          <w:rFonts w:ascii="Times" w:hAnsi="Times" w:cs="Times"/>
          <w:sz w:val="20"/>
          <w:lang w:eastAsia="zh-CN"/>
        </w:rPr>
        <w:t>PRS/SRS</w:t>
      </w:r>
      <w:r>
        <w:rPr>
          <w:rFonts w:ascii="Times" w:hAnsi="Times" w:cs="Times"/>
          <w:sz w:val="20"/>
        </w:rPr>
        <w:t xml:space="preserve"> resources should have the</w:t>
      </w:r>
      <w:r>
        <w:rPr>
          <w:rFonts w:ascii="Times" w:hAnsi="Times" w:cs="Times"/>
          <w:sz w:val="20"/>
          <w:lang w:eastAsia="zh-CN"/>
        </w:rPr>
        <w:t xml:space="preserve"> same RF chain (same antenna), and capture it in RAN1 specification as RAN4 requested</w:t>
      </w:r>
    </w:p>
    <w:p>
      <w:pPr>
        <w:pStyle w:val="139"/>
        <w:numPr>
          <w:ilvl w:val="0"/>
          <w:numId w:val="18"/>
        </w:numPr>
        <w:snapToGrid w:val="0"/>
        <w:jc w:val="both"/>
        <w:rPr>
          <w:rFonts w:ascii="Times" w:hAnsi="Times" w:cs="Times"/>
          <w:color w:val="C00000"/>
          <w:sz w:val="20"/>
          <w:lang w:eastAsia="zh-CN"/>
        </w:rPr>
      </w:pPr>
      <w:r>
        <w:rPr>
          <w:rFonts w:hint="eastAsia" w:ascii="Times" w:hAnsi="Times" w:cs="Times"/>
          <w:color w:val="C00000"/>
          <w:sz w:val="20"/>
          <w:lang w:eastAsia="zh-CN"/>
        </w:rPr>
        <w:t xml:space="preserve">Alt.3: RAN1 neither capture the condition of </w:t>
      </w:r>
      <w:r>
        <w:rPr>
          <w:rFonts w:ascii="Times" w:hAnsi="Times" w:cs="Times"/>
          <w:color w:val="C00000"/>
          <w:sz w:val="20"/>
          <w:lang w:eastAsia="zh-CN"/>
        </w:rPr>
        <w:t>‘</w:t>
      </w:r>
      <w:r>
        <w:rPr>
          <w:rFonts w:hint="eastAsia" w:ascii="Times" w:hAnsi="Times" w:cs="Times"/>
          <w:color w:val="C00000"/>
          <w:sz w:val="20"/>
          <w:lang w:eastAsia="zh-CN"/>
        </w:rPr>
        <w:t>the same antenna port</w:t>
      </w:r>
      <w:r>
        <w:rPr>
          <w:rFonts w:ascii="Times" w:hAnsi="Times" w:cs="Times"/>
          <w:color w:val="C00000"/>
          <w:sz w:val="20"/>
          <w:lang w:eastAsia="zh-CN"/>
        </w:rPr>
        <w:t>’</w:t>
      </w:r>
      <w:r>
        <w:rPr>
          <w:rFonts w:hint="eastAsia" w:ascii="Times" w:hAnsi="Times" w:cs="Times"/>
          <w:color w:val="C00000"/>
          <w:sz w:val="20"/>
          <w:lang w:eastAsia="zh-CN"/>
        </w:rPr>
        <w:t xml:space="preserve"> nor </w:t>
      </w:r>
      <w:r>
        <w:rPr>
          <w:rFonts w:ascii="Times" w:hAnsi="Times" w:cs="Times"/>
          <w:color w:val="C00000"/>
          <w:sz w:val="20"/>
          <w:lang w:eastAsia="zh-CN"/>
        </w:rPr>
        <w:t>‘</w:t>
      </w:r>
      <w:r>
        <w:rPr>
          <w:rFonts w:hint="eastAsia" w:ascii="Times" w:hAnsi="Times" w:cs="Times"/>
          <w:color w:val="C00000"/>
          <w:sz w:val="20"/>
          <w:lang w:eastAsia="zh-CN"/>
        </w:rPr>
        <w:t>the same RF chain(same antenna)</w:t>
      </w:r>
      <w:r>
        <w:rPr>
          <w:rFonts w:ascii="Times" w:hAnsi="Times" w:cs="Times"/>
          <w:color w:val="C00000"/>
          <w:sz w:val="20"/>
          <w:lang w:eastAsia="zh-CN"/>
        </w:rPr>
        <w:t>’</w:t>
      </w:r>
    </w:p>
    <w:p>
      <w:pPr>
        <w:pStyle w:val="139"/>
        <w:numPr>
          <w:ilvl w:val="1"/>
          <w:numId w:val="18"/>
        </w:numPr>
        <w:snapToGrid w:val="0"/>
        <w:jc w:val="both"/>
        <w:rPr>
          <w:rFonts w:ascii="Times" w:hAnsi="Times" w:cs="Times"/>
          <w:color w:val="C00000"/>
          <w:sz w:val="20"/>
          <w:lang w:eastAsia="zh-CN"/>
        </w:rPr>
      </w:pPr>
      <w:r>
        <w:rPr>
          <w:rFonts w:ascii="Times" w:hAnsi="Times" w:cs="Times"/>
          <w:color w:val="C00000"/>
          <w:sz w:val="20"/>
          <w:lang w:eastAsia="zh-CN"/>
        </w:rPr>
        <w:t xml:space="preserve">Send an reply LS to request RAN4 to capture the condition of </w:t>
      </w:r>
      <w:r>
        <w:rPr>
          <w:rFonts w:ascii="Times" w:hAnsi="Times" w:cs="Times"/>
          <w:bCs/>
          <w:color w:val="C00000"/>
          <w:sz w:val="20"/>
          <w:lang w:eastAsia="zh-CN"/>
        </w:rPr>
        <w:t>‘the same RF chain (same antenna)’ in RAN4 specification</w:t>
      </w:r>
    </w:p>
    <w:p>
      <w:pPr>
        <w:pStyle w:val="139"/>
        <w:snapToGrid w:val="0"/>
        <w:ind w:left="360"/>
        <w:jc w:val="both"/>
        <w:rPr>
          <w:rFonts w:ascii="Times" w:hAnsi="Times" w:cs="Times"/>
          <w:sz w:val="20"/>
        </w:rPr>
      </w:pPr>
    </w:p>
    <w:p>
      <w:pPr>
        <w:pStyle w:val="139"/>
        <w:snapToGrid w:val="0"/>
        <w:spacing w:before="180" w:after="120"/>
        <w:ind w:left="0"/>
        <w:jc w:val="both"/>
        <w:textAlignment w:val="auto"/>
        <w:rPr>
          <w:rFonts w:ascii="Times" w:hAnsi="Times" w:cs="Time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20" w:name="OLE_LINK53" w:colFirst="0" w:colLast="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Cs/>
                <w:iCs/>
                <w:sz w:val="18"/>
                <w:szCs w:val="18"/>
              </w:rPr>
            </w:pPr>
            <w:r>
              <w:rPr>
                <w:rFonts w:hint="eastAsia"/>
                <w:bCs/>
                <w:iCs/>
                <w:sz w:val="18"/>
                <w:szCs w:val="18"/>
              </w:rPr>
              <w:t>Qualcomm</w:t>
            </w:r>
          </w:p>
        </w:tc>
        <w:tc>
          <w:tcPr>
            <w:tcW w:w="7508" w:type="dxa"/>
            <w:vAlign w:val="center"/>
          </w:tcPr>
          <w:p>
            <w:pPr>
              <w:snapToGrid w:val="0"/>
              <w:rPr>
                <w:bCs/>
                <w:iCs/>
                <w:sz w:val="18"/>
                <w:szCs w:val="18"/>
              </w:rPr>
            </w:pPr>
            <w:r>
              <w:rPr>
                <w:rFonts w:hint="eastAsia"/>
                <w:bCs/>
                <w:iCs/>
                <w:sz w:val="18"/>
                <w:szCs w:val="18"/>
              </w:rPr>
              <w:t>Support Alt. 1</w:t>
            </w:r>
          </w:p>
          <w:p>
            <w:pPr>
              <w:snapToGrid w:val="0"/>
              <w:rPr>
                <w:bCs/>
                <w:iCs/>
                <w:sz w:val="18"/>
                <w:szCs w:val="18"/>
              </w:rPr>
            </w:pPr>
            <w:r>
              <w:rPr>
                <w:rFonts w:hint="eastAsia"/>
                <w:bCs/>
                <w:iCs/>
                <w:sz w:val="18"/>
                <w:szCs w:val="18"/>
              </w:rPr>
              <w:t xml:space="preserve">We have concerns capturing “same RF chain” in RAN1 specifications. It is a bad precedence, and it not a good/forward-looking way through/out of this discussion. RAN4 should add the “same RF chain” in their specification AND RAN1 should add a statement from RAN1 perspective. </w:t>
            </w:r>
          </w:p>
        </w:tc>
      </w:tr>
      <w:bookmarkEnd w:id="2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Spreadtrum</w:t>
            </w:r>
          </w:p>
        </w:tc>
        <w:tc>
          <w:tcPr>
            <w:tcW w:w="7508" w:type="dxa"/>
            <w:vAlign w:val="center"/>
          </w:tcPr>
          <w:p>
            <w:pPr>
              <w:snapToGrid w:val="0"/>
              <w:rPr>
                <w:rFonts w:eastAsiaTheme="minorEastAsia"/>
                <w:bCs/>
                <w:iCs/>
                <w:sz w:val="18"/>
                <w:szCs w:val="18"/>
              </w:rPr>
            </w:pPr>
            <w:r>
              <w:rPr>
                <w:rFonts w:hint="eastAsia" w:eastAsiaTheme="minorEastAsia"/>
                <w:bCs/>
                <w:iCs/>
                <w:sz w:val="18"/>
                <w:szCs w:val="18"/>
              </w:rPr>
              <w:t>We support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Huawei, HiSilicon</w:t>
            </w:r>
          </w:p>
        </w:tc>
        <w:tc>
          <w:tcPr>
            <w:tcW w:w="7508" w:type="dxa"/>
            <w:vAlign w:val="center"/>
          </w:tcPr>
          <w:p>
            <w:pPr>
              <w:snapToGrid w:val="0"/>
              <w:rPr>
                <w:rFonts w:eastAsiaTheme="minorEastAsia"/>
                <w:bCs/>
                <w:iCs/>
                <w:sz w:val="18"/>
                <w:szCs w:val="18"/>
              </w:rPr>
            </w:pPr>
            <w:r>
              <w:rPr>
                <w:rFonts w:hint="eastAsia" w:eastAsiaTheme="minorEastAsia"/>
                <w:bCs/>
                <w:iCs/>
                <w:sz w:val="18"/>
                <w:szCs w:val="18"/>
              </w:rPr>
              <w:t>We support Alt. 1</w:t>
            </w:r>
          </w:p>
          <w:p>
            <w:pPr>
              <w:snapToGrid w:val="0"/>
              <w:rPr>
                <w:rFonts w:eastAsiaTheme="minorEastAsia"/>
                <w:bCs/>
                <w:iCs/>
                <w:sz w:val="18"/>
                <w:szCs w:val="18"/>
              </w:rPr>
            </w:pPr>
            <w:r>
              <w:rPr>
                <w:rFonts w:hint="eastAsia" w:eastAsiaTheme="minorEastAsia"/>
                <w:bCs/>
                <w:iCs/>
                <w:sz w:val="18"/>
                <w:szCs w:val="18"/>
              </w:rPr>
              <w:t>From RAN1 perspective, “</w:t>
            </w:r>
            <w:r>
              <w:rPr>
                <w:rFonts w:hint="eastAsia"/>
              </w:rPr>
              <w:t xml:space="preserve">channel inference” </w:t>
            </w:r>
            <w:r>
              <w:rPr>
                <w:rFonts w:hint="eastAsia"/>
                <w:sz w:val="18"/>
                <w:szCs w:val="18"/>
              </w:rPr>
              <w:t>property of</w:t>
            </w:r>
            <w:r>
              <w:rPr>
                <w:rFonts w:hint="eastAsia" w:eastAsiaTheme="minorEastAsia"/>
                <w:bCs/>
                <w:iCs/>
                <w:sz w:val="18"/>
                <w:szCs w:val="18"/>
              </w:rPr>
              <w:t xml:space="preserve"> same antenna port can guarantee the requirement of phase consistency for transmission of aggregated PRS/SRS resources. The capture of ‘same RF chain’ should be up to RAN4.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CATT</w:t>
            </w:r>
          </w:p>
        </w:tc>
        <w:tc>
          <w:tcPr>
            <w:tcW w:w="7508" w:type="dxa"/>
          </w:tcPr>
          <w:p>
            <w:pPr>
              <w:snapToGrid w:val="0"/>
              <w:rPr>
                <w:rFonts w:eastAsiaTheme="minorEastAsia"/>
                <w:bCs/>
                <w:iCs/>
                <w:sz w:val="18"/>
                <w:szCs w:val="18"/>
              </w:rPr>
            </w:pPr>
            <w:r>
              <w:rPr>
                <w:rFonts w:hint="eastAsia" w:eastAsiaTheme="minorEastAsia"/>
                <w:bCs/>
                <w:iCs/>
                <w:sz w:val="18"/>
                <w:szCs w:val="18"/>
              </w:rPr>
              <w:t>We prefer Alt. 2, or do nothing in RAN1’s spec. It is unclear why RAN1 needs to repeat  the “same antenna port” for the PRS. It is already defined clearly in 38.11 that DL PRS is sent from a single antenna port since Rel-16.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MS Mincho"/>
                <w:bCs/>
                <w:iCs/>
                <w:sz w:val="18"/>
                <w:szCs w:val="18"/>
                <w:lang w:eastAsia="ja-JP"/>
              </w:rPr>
            </w:pPr>
            <w:r>
              <w:rPr>
                <w:rFonts w:hint="eastAsia" w:eastAsia="MS Mincho"/>
                <w:bCs/>
                <w:iCs/>
                <w:sz w:val="18"/>
                <w:szCs w:val="18"/>
                <w:lang w:eastAsia="ja-JP"/>
              </w:rPr>
              <w:t>NTT DOCOMO</w:t>
            </w:r>
          </w:p>
        </w:tc>
        <w:tc>
          <w:tcPr>
            <w:tcW w:w="7508" w:type="dxa"/>
          </w:tcPr>
          <w:p>
            <w:pPr>
              <w:snapToGrid w:val="0"/>
              <w:rPr>
                <w:rFonts w:eastAsia="MS Mincho"/>
                <w:bCs/>
                <w:iCs/>
                <w:sz w:val="18"/>
                <w:szCs w:val="18"/>
                <w:lang w:eastAsia="ja-JP"/>
              </w:rPr>
            </w:pPr>
            <w:r>
              <w:rPr>
                <w:rFonts w:hint="eastAsia" w:eastAsia="MS Mincho"/>
                <w:bCs/>
                <w:iCs/>
                <w:sz w:val="18"/>
                <w:szCs w:val="18"/>
                <w:lang w:eastAsia="ja-JP"/>
              </w:rPr>
              <w:t>Support Alt.1. We think the description related to “same RF chain” is suitable for RAN4 specifications.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 xml:space="preserve">Samsung </w:t>
            </w:r>
          </w:p>
        </w:tc>
        <w:tc>
          <w:tcPr>
            <w:tcW w:w="7508" w:type="dxa"/>
            <w:vAlign w:val="center"/>
          </w:tcPr>
          <w:p>
            <w:pPr>
              <w:snapToGrid w:val="0"/>
              <w:rPr>
                <w:rFonts w:eastAsiaTheme="minorEastAsia"/>
                <w:bCs/>
                <w:iCs/>
                <w:sz w:val="18"/>
                <w:szCs w:val="18"/>
              </w:rPr>
            </w:pPr>
            <w:r>
              <w:rPr>
                <w:rFonts w:hint="eastAsia"/>
                <w:bCs/>
                <w:iCs/>
                <w:sz w:val="18"/>
                <w:szCs w:val="18"/>
              </w:rPr>
              <w:t xml:space="preserve">Frankly speaking, this condition cannot be defined in RAN1 in our opinion. If we want to add this condition in RAN1’s spec, Alt 2 seems more accuracy than Alt 1. The definition for “same antenna port” is more suitable for describe the correlation in time domain other than in frequency domain based on current defination. Therefore, we think Alt 2 can be used, and the definition for same RF chain (same antenna) in  RAN4’s spec can be cited as an reference. Otherwise, we agree with CATT that nothing should be specified in RAN1 for this issue.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Ericsson</w:t>
            </w:r>
          </w:p>
        </w:tc>
        <w:tc>
          <w:tcPr>
            <w:tcW w:w="7508" w:type="dxa"/>
            <w:vAlign w:val="center"/>
          </w:tcPr>
          <w:p>
            <w:pPr>
              <w:snapToGrid w:val="0"/>
              <w:rPr>
                <w:rFonts w:ascii="Times" w:hAnsi="Times" w:cs="Times"/>
                <w:sz w:val="20"/>
              </w:rPr>
            </w:pPr>
            <w:r>
              <w:rPr>
                <w:rFonts w:hint="eastAsia"/>
                <w:bCs/>
                <w:iCs/>
                <w:sz w:val="18"/>
                <w:szCs w:val="18"/>
              </w:rPr>
              <w:t>We share the same view as CATT.  We don’t need to define the condition that “</w:t>
            </w:r>
            <w:r>
              <w:rPr>
                <w:rFonts w:hint="eastAsia" w:ascii="Times" w:hAnsi="Times" w:cs="Times"/>
                <w:sz w:val="20"/>
              </w:rPr>
              <w:t xml:space="preserve">the aggregated PRS/SRS resources should have the same antenna port” as the PRSs to be aggregated are in different PFLs.  So we don’t support Alt 1.  </w:t>
            </w:r>
          </w:p>
          <w:p>
            <w:pPr>
              <w:snapToGrid w:val="0"/>
              <w:rPr>
                <w:bCs/>
                <w:iCs/>
                <w:sz w:val="18"/>
              </w:rPr>
            </w:pPr>
          </w:p>
          <w:p>
            <w:pPr>
              <w:snapToGrid w:val="0"/>
              <w:rPr>
                <w:bCs/>
                <w:iCs/>
                <w:sz w:val="18"/>
              </w:rPr>
            </w:pPr>
            <w:r>
              <w:rPr>
                <w:rFonts w:hint="eastAsia"/>
                <w:bCs/>
                <w:iCs/>
                <w:sz w:val="18"/>
              </w:rPr>
              <w:t>Regarding Alt 2, we do not think capturing ‘same RF chain’ is proper in RAN1 specifications for reasons mentioned by other companies.  We can reply to RAN4 that the term RF chain is not defined in RAN1 specifications and ask RAN4 to capture this condition.</w:t>
            </w:r>
          </w:p>
          <w:p>
            <w:pPr>
              <w:snapToGrid w:val="0"/>
              <w:rPr>
                <w:bCs/>
                <w:iCs/>
                <w:sz w:val="18"/>
              </w:rPr>
            </w:pPr>
          </w:p>
          <w:p>
            <w:pPr>
              <w:snapToGrid w:val="0"/>
              <w:rPr>
                <w:bCs/>
                <w:iCs/>
                <w:sz w:val="18"/>
                <w:szCs w:val="18"/>
              </w:rPr>
            </w:pPr>
            <w:r>
              <w:rPr>
                <w:rFonts w:hint="eastAsia"/>
                <w:bCs/>
                <w:iCs/>
                <w:sz w:val="18"/>
              </w:rPr>
              <w:t>Overall, from RAN 1 side, we don’t need to do anything from RAN1’s perspective other than sending a reply LS to RAN4 clarifying that it would be better that RAN4 captures ‘the same RF chain’ condition in their specs.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LGE</w:t>
            </w:r>
          </w:p>
        </w:tc>
        <w:tc>
          <w:tcPr>
            <w:tcW w:w="7508" w:type="dxa"/>
          </w:tcPr>
          <w:p>
            <w:pPr>
              <w:snapToGrid w:val="0"/>
              <w:rPr>
                <w:rFonts w:eastAsiaTheme="minorEastAsia"/>
                <w:bCs/>
                <w:iCs/>
                <w:sz w:val="18"/>
                <w:szCs w:val="18"/>
              </w:rPr>
            </w:pPr>
            <w:r>
              <w:rPr>
                <w:rFonts w:hint="eastAsia" w:eastAsiaTheme="minorEastAsia"/>
                <w:bCs/>
                <w:iCs/>
                <w:sz w:val="18"/>
                <w:szCs w:val="18"/>
              </w:rPr>
              <w:t xml:space="preserve">Same view as CATT. </w:t>
            </w:r>
          </w:p>
          <w:p>
            <w:pPr>
              <w:snapToGrid w:val="0"/>
              <w:rPr>
                <w:rFonts w:eastAsiaTheme="minorEastAsia"/>
                <w:bCs/>
                <w:iCs/>
                <w:sz w:val="18"/>
                <w:szCs w:val="18"/>
              </w:rPr>
            </w:pPr>
            <w:r>
              <w:rPr>
                <w:rFonts w:hint="eastAsia" w:eastAsiaTheme="minorEastAsia"/>
                <w:bCs/>
                <w:iCs/>
                <w:sz w:val="18"/>
                <w:szCs w:val="18"/>
              </w:rPr>
              <w:t xml:space="preserve">We are not convinced with reinterpret meaning of “same antenna port” for positioning item only.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宋体"/>
                <w:bCs/>
                <w:iCs/>
                <w:sz w:val="18"/>
                <w:szCs w:val="18"/>
              </w:rPr>
            </w:pPr>
            <w:r>
              <w:rPr>
                <w:rFonts w:hint="eastAsia" w:eastAsia="宋体"/>
                <w:bCs/>
                <w:iCs/>
                <w:sz w:val="18"/>
                <w:szCs w:val="18"/>
              </w:rPr>
              <w:t>FL</w:t>
            </w:r>
          </w:p>
        </w:tc>
        <w:tc>
          <w:tcPr>
            <w:tcW w:w="7508" w:type="dxa"/>
          </w:tcPr>
          <w:p>
            <w:pPr>
              <w:snapToGrid w:val="0"/>
              <w:rPr>
                <w:rFonts w:eastAsia="宋体"/>
                <w:bCs/>
                <w:iCs/>
                <w:sz w:val="18"/>
                <w:szCs w:val="18"/>
              </w:rPr>
            </w:pPr>
            <w:r>
              <w:rPr>
                <w:rFonts w:hint="eastAsia" w:eastAsia="宋体"/>
                <w:bCs/>
                <w:iCs/>
                <w:sz w:val="18"/>
                <w:szCs w:val="18"/>
              </w:rPr>
              <w:t>I include one more option in the above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宋体"/>
                <w:bCs/>
                <w:iCs/>
                <w:sz w:val="18"/>
                <w:szCs w:val="18"/>
              </w:rPr>
            </w:pPr>
            <w:r>
              <w:rPr>
                <w:rFonts w:hint="eastAsia" w:eastAsia="宋体"/>
                <w:bCs/>
                <w:iCs/>
                <w:sz w:val="18"/>
                <w:szCs w:val="18"/>
              </w:rPr>
              <w:t>Nokia/NSB</w:t>
            </w:r>
          </w:p>
        </w:tc>
        <w:tc>
          <w:tcPr>
            <w:tcW w:w="7508" w:type="dxa"/>
          </w:tcPr>
          <w:p>
            <w:pPr>
              <w:snapToGrid w:val="0"/>
              <w:rPr>
                <w:rFonts w:eastAsia="宋体"/>
                <w:bCs/>
                <w:iCs/>
                <w:sz w:val="18"/>
                <w:szCs w:val="18"/>
              </w:rPr>
            </w:pPr>
            <w:r>
              <w:rPr>
                <w:rFonts w:hint="eastAsia" w:eastAsia="宋体"/>
                <w:bCs/>
                <w:iCs/>
                <w:sz w:val="18"/>
                <w:szCs w:val="18"/>
              </w:rPr>
              <w:t>Support Alt 3. In our view, the description on the same RF chain at RAN4 would be enough. In RAN1, basd on the current definition of antenna port, the channel inference in time-domain makes sense, but it is unclear how to define the same antenna port across different PFLs/CCs.</w:t>
            </w:r>
          </w:p>
        </w:tc>
      </w:tr>
    </w:tbl>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40"/>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Agreement</w:t>
      </w:r>
    </w:p>
    <w:p>
      <w:pPr>
        <w:snapToGrid w:val="0"/>
        <w:jc w:val="both"/>
        <w:rPr>
          <w:rFonts w:cs="Times"/>
          <w:b/>
          <w:bCs/>
          <w:szCs w:val="20"/>
        </w:rPr>
      </w:pPr>
      <w:r>
        <w:rPr>
          <w:rFonts w:ascii="Times" w:hAnsi="Times" w:eastAsia="Batang" w:cs="Times"/>
          <w:b/>
          <w:bCs/>
          <w:sz w:val="20"/>
          <w:szCs w:val="20"/>
          <w:highlight w:val="green"/>
          <w:lang w:bidi="ar"/>
        </w:rPr>
        <w:t>Agreement</w:t>
      </w:r>
    </w:p>
    <w:p>
      <w:pPr>
        <w:snapToGrid w:val="0"/>
      </w:pPr>
      <w:r>
        <w:rPr>
          <w:rFonts w:ascii="Times" w:hAnsi="Times" w:eastAsia="Batang" w:cs="Times"/>
          <w:sz w:val="20"/>
          <w:lang w:bidi="ar"/>
        </w:rPr>
        <w:t>For PRS/SRS bandwidth aggregation between two or three different PFLs/carriers, send a reply LS to request RAN4 to capture the condition of ‘the same RF chain (same antenna)’ in RAN4 specification.</w:t>
      </w:r>
    </w:p>
    <w:p>
      <w:pPr>
        <w:pStyle w:val="139"/>
        <w:snapToGrid w:val="0"/>
        <w:ind w:left="0"/>
        <w:jc w:val="both"/>
        <w:rPr>
          <w:rFonts w:eastAsiaTheme="minorEastAsia"/>
          <w:bCs/>
          <w:iCs/>
          <w:color w:val="FF0000"/>
          <w:sz w:val="18"/>
          <w:szCs w:val="18"/>
        </w:rPr>
      </w:pPr>
    </w:p>
    <w:p>
      <w:pPr>
        <w:pStyle w:val="40"/>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Reply LS</w:t>
      </w:r>
    </w:p>
    <w:p>
      <w:pPr>
        <w:pStyle w:val="139"/>
        <w:snapToGrid w:val="0"/>
        <w:ind w:left="0"/>
        <w:jc w:val="both"/>
        <w:rPr>
          <w:rFonts w:eastAsia="Batang"/>
          <w:sz w:val="20"/>
          <w:lang w:eastAsia="zh-CN" w:bidi="ar"/>
        </w:rPr>
      </w:pPr>
      <w:r>
        <w:rPr>
          <w:rFonts w:hint="eastAsia" w:ascii="Times" w:hAnsi="Times" w:eastAsia="Batang" w:cs="Times"/>
          <w:sz w:val="20"/>
          <w:szCs w:val="24"/>
          <w:lang w:eastAsia="zh-CN" w:bidi="ar"/>
        </w:rPr>
        <w:t>T</w:t>
      </w:r>
      <w:r>
        <w:rPr>
          <w:rFonts w:eastAsia="Batang"/>
          <w:sz w:val="20"/>
          <w:lang w:eastAsia="zh-CN" w:bidi="ar"/>
        </w:rPr>
        <w:t xml:space="preserve">he draft LS is uploaded in the folder of 9.5.4. Please check. You can provide your comments either here or use updated version in that folder. </w:t>
      </w:r>
      <w:r>
        <w:rPr>
          <w:rFonts w:hint="eastAsia" w:eastAsia="Batang"/>
          <w:sz w:val="20"/>
          <w:lang w:eastAsia="zh-CN" w:bidi="ar"/>
        </w:rPr>
        <w:t>The content is copied here for convenience.</w:t>
      </w:r>
    </w:p>
    <w:p>
      <w:pPr>
        <w:pStyle w:val="139"/>
        <w:snapToGrid w:val="0"/>
        <w:ind w:left="0"/>
        <w:jc w:val="both"/>
        <w:rPr>
          <w:rFonts w:eastAsiaTheme="minorEastAsia"/>
          <w:bCs/>
          <w:iCs/>
          <w:sz w:val="20"/>
          <w:lang w:eastAsia="zh-CN"/>
        </w:rPr>
      </w:pPr>
      <w:r>
        <w:rPr>
          <w:rFonts w:eastAsiaTheme="minorEastAsia"/>
          <w:bCs/>
          <w:iCs/>
          <w:sz w:val="20"/>
          <w:lang w:eastAsia="zh-CN"/>
        </w:rPr>
        <w:t>--------------------------</w:t>
      </w:r>
    </w:p>
    <w:p>
      <w:pPr>
        <w:snapToGrid w:val="0"/>
        <w:spacing w:before="180" w:beforeLines="50" w:after="180" w:afterLines="50"/>
        <w:jc w:val="both"/>
        <w:rPr>
          <w:rFonts w:eastAsia="MS Mincho"/>
          <w:sz w:val="20"/>
          <w:szCs w:val="20"/>
          <w:lang w:eastAsia="en-US"/>
        </w:rPr>
      </w:pPr>
      <w:r>
        <w:rPr>
          <w:rFonts w:eastAsia="MS Mincho"/>
          <w:sz w:val="20"/>
          <w:szCs w:val="20"/>
          <w:lang w:bidi="ar"/>
        </w:rPr>
        <w:t xml:space="preserve">RAN1 would like to thank RAN4’s reply LS </w:t>
      </w:r>
      <w:r>
        <w:rPr>
          <w:rFonts w:eastAsia="MS Mincho"/>
          <w:sz w:val="20"/>
          <w:szCs w:val="20"/>
          <w:lang w:eastAsia="en-US" w:bidi="ar"/>
        </w:rPr>
        <w:t>R4-2310076</w:t>
      </w:r>
      <w:r>
        <w:rPr>
          <w:rFonts w:eastAsia="MS Mincho"/>
          <w:sz w:val="20"/>
          <w:szCs w:val="20"/>
          <w:lang w:bidi="ar"/>
        </w:rPr>
        <w:t xml:space="preserve"> (</w:t>
      </w:r>
      <w:r>
        <w:rPr>
          <w:rFonts w:eastAsia="MS Mincho"/>
          <w:sz w:val="20"/>
          <w:szCs w:val="20"/>
          <w:lang w:eastAsia="en-US" w:bidi="ar"/>
        </w:rPr>
        <w:t>R1-2306363</w:t>
      </w:r>
      <w:r>
        <w:rPr>
          <w:rFonts w:eastAsia="MS Mincho"/>
          <w:sz w:val="20"/>
          <w:szCs w:val="20"/>
          <w:lang w:bidi="ar"/>
        </w:rPr>
        <w:t>) to confirm that the legacy definition of DL RSTD, UL RTOA, UE Rx-Tx time difference, gNB Rx-Tx time difference can be reused for positioning measurements based on bandwidth aggregation</w:t>
      </w:r>
      <w:r>
        <w:rPr>
          <w:rFonts w:eastAsia="MS Mincho"/>
          <w:sz w:val="20"/>
          <w:szCs w:val="20"/>
          <w:lang w:eastAsia="en-US" w:bidi="ar"/>
        </w:rPr>
        <w:t xml:space="preserve">.  </w:t>
      </w:r>
    </w:p>
    <w:p>
      <w:pPr>
        <w:snapToGrid w:val="0"/>
        <w:spacing w:before="180" w:beforeLines="50" w:after="180" w:afterLines="50"/>
        <w:jc w:val="both"/>
        <w:rPr>
          <w:rFonts w:eastAsia="MS Mincho"/>
          <w:sz w:val="20"/>
          <w:szCs w:val="20"/>
          <w:lang w:bidi="ar"/>
        </w:rPr>
      </w:pPr>
      <w:r>
        <w:rPr>
          <w:rFonts w:eastAsia="MS Mincho"/>
          <w:sz w:val="20"/>
          <w:szCs w:val="20"/>
          <w:lang w:bidi="ar"/>
        </w:rPr>
        <w:t xml:space="preserve">With regard to the following RAN4’s request, RAN1 kindly request RAN4 to capture the condition in RAN4’s specification as RAN1 do not have the definition for RF chain and antenna.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Borders>
              <w:top w:val="single" w:color="auto" w:sz="4" w:space="0"/>
              <w:left w:val="single" w:color="auto" w:sz="4" w:space="0"/>
              <w:bottom w:val="single" w:color="auto" w:sz="4" w:space="0"/>
              <w:right w:val="single" w:color="auto" w:sz="4" w:space="0"/>
            </w:tcBorders>
            <w:shd w:val="clear" w:color="auto" w:fill="auto"/>
          </w:tcPr>
          <w:p>
            <w:pPr>
              <w:spacing w:after="120"/>
              <w:rPr>
                <w:rFonts w:eastAsia="Arial"/>
                <w:sz w:val="20"/>
                <w:szCs w:val="20"/>
              </w:rPr>
            </w:pPr>
            <w:r>
              <w:rPr>
                <w:rFonts w:eastAsia="Arial"/>
                <w:sz w:val="20"/>
                <w:szCs w:val="20"/>
                <w:lang w:bidi="ar"/>
              </w:rPr>
              <w:t>In addition, RAN4 would like to request RAN1 to capture bandwidth aggregation procedure for positioning measurement based on the conditions below in one of the relevant RAN1 specifications.</w:t>
            </w:r>
          </w:p>
          <w:p>
            <w:pPr>
              <w:pStyle w:val="27"/>
              <w:numPr>
                <w:ilvl w:val="0"/>
                <w:numId w:val="19"/>
              </w:numPr>
              <w:spacing w:beforeAutospacing="1" w:after="120"/>
              <w:ind w:left="0"/>
              <w:rPr>
                <w:rFonts w:ascii="Times New Roman" w:hAnsi="Times New Roman" w:eastAsia="Malgun Gothic" w:cs="Times New Roman"/>
                <w:sz w:val="20"/>
                <w:szCs w:val="20"/>
              </w:rPr>
            </w:pPr>
            <w:r>
              <w:rPr>
                <w:rFonts w:ascii="Times New Roman" w:hAnsi="Times New Roman" w:eastAsia="Arial" w:cs="Times New Roman"/>
                <w:sz w:val="20"/>
                <w:szCs w:val="20"/>
              </w:rPr>
              <w:t>PRS/SRS resources to be aggregated are transmitted by TRP/UE from intra-band contiguous carriers using single RF chain (same antenna).</w:t>
            </w:r>
          </w:p>
          <w:p>
            <w:pPr>
              <w:pStyle w:val="27"/>
              <w:numPr>
                <w:ilvl w:val="0"/>
                <w:numId w:val="19"/>
              </w:numPr>
              <w:spacing w:beforeAutospacing="1" w:after="120"/>
              <w:ind w:left="0"/>
              <w:rPr>
                <w:rFonts w:ascii="Times New Roman" w:hAnsi="Times New Roman" w:eastAsia="Malgun Gothic" w:cs="Times New Roman"/>
                <w:sz w:val="20"/>
                <w:szCs w:val="20"/>
              </w:rPr>
            </w:pPr>
            <w:r>
              <w:rPr>
                <w:rFonts w:ascii="Times New Roman" w:hAnsi="Times New Roman" w:eastAsia="Arial" w:cs="Times New Roman"/>
                <w:sz w:val="20"/>
                <w:szCs w:val="20"/>
              </w:rPr>
              <w:t>PRS/SRS resources to be aggregated are received by UE/TRP using single RF chain (same antenna).</w:t>
            </w:r>
            <w:r>
              <w:rPr>
                <w:rFonts w:ascii="Times New Roman" w:hAnsi="Times New Roman" w:eastAsia="Malgun Gothic" w:cs="Times New Roman"/>
                <w:sz w:val="20"/>
                <w:szCs w:val="20"/>
              </w:rPr>
              <w:t xml:space="preserve"> </w:t>
            </w:r>
          </w:p>
        </w:tc>
      </w:tr>
    </w:tbl>
    <w:p>
      <w:pPr>
        <w:pStyle w:val="139"/>
        <w:snapToGrid w:val="0"/>
        <w:ind w:left="0"/>
        <w:jc w:val="both"/>
        <w:rPr>
          <w:rFonts w:eastAsiaTheme="minorEastAsia"/>
          <w:bCs/>
          <w:iCs/>
          <w:sz w:val="20"/>
          <w:lang w:eastAsia="zh-CN"/>
        </w:rPr>
      </w:pPr>
    </w:p>
    <w:p>
      <w:pPr>
        <w:pStyle w:val="139"/>
        <w:snapToGrid w:val="0"/>
        <w:ind w:left="0"/>
        <w:jc w:val="both"/>
        <w:rPr>
          <w:rFonts w:eastAsiaTheme="minorEastAsia"/>
          <w:bCs/>
          <w:iCs/>
          <w:sz w:val="20"/>
          <w:lang w:eastAsia="zh-CN"/>
        </w:rPr>
      </w:pPr>
      <w:r>
        <w:rPr>
          <w:rFonts w:eastAsiaTheme="minorEastAsia"/>
          <w:bCs/>
          <w:iCs/>
          <w:sz w:val="20"/>
          <w:lang w:eastAsia="zh-CN"/>
        </w:rPr>
        <w:t>------------------------</w:t>
      </w:r>
    </w:p>
    <w:p>
      <w:pPr>
        <w:pStyle w:val="139"/>
        <w:snapToGrid w:val="0"/>
        <w:ind w:left="0"/>
        <w:jc w:val="both"/>
        <w:rPr>
          <w:rFonts w:eastAsiaTheme="minorEastAsia"/>
          <w:bCs/>
          <w:iCs/>
          <w:color w:val="FF0000"/>
          <w:sz w:val="18"/>
          <w:szCs w:val="18"/>
        </w:rPr>
      </w:pPr>
    </w:p>
    <w:p>
      <w:r>
        <w:rPr>
          <w:rFonts w:ascii="Times" w:hAnsi="Times" w:eastAsia="Batang"/>
          <w:sz w:val="20"/>
          <w:highlight w:val="green"/>
          <w:lang w:bidi="ar"/>
        </w:rPr>
        <w:t>Agreement</w:t>
      </w:r>
    </w:p>
    <w:p>
      <w:r>
        <w:rPr>
          <w:rFonts w:ascii="Times" w:hAnsi="Times" w:eastAsia="Batang"/>
          <w:sz w:val="20"/>
          <w:lang w:bidi="ar"/>
        </w:rPr>
        <w:t>The draft LS in R1-2308448 is endorsed as a reply to RAN2.</w:t>
      </w:r>
    </w:p>
    <w:p>
      <w:r>
        <w:rPr>
          <w:rFonts w:ascii="Times" w:hAnsi="Times" w:eastAsia="Batang"/>
          <w:sz w:val="20"/>
          <w:lang w:bidi="ar"/>
        </w:rPr>
        <w:t>Final LS in R1-2308449.</w:t>
      </w:r>
    </w:p>
    <w:p>
      <w:pPr>
        <w:pStyle w:val="139"/>
        <w:snapToGrid w:val="0"/>
        <w:ind w:left="0"/>
        <w:jc w:val="both"/>
        <w:rPr>
          <w:rFonts w:eastAsiaTheme="minorEastAsia"/>
          <w:bCs/>
          <w:iCs/>
          <w:color w:val="FF0000"/>
          <w:sz w:val="18"/>
          <w:szCs w:val="18"/>
        </w:rPr>
      </w:pPr>
    </w:p>
    <w:p>
      <w:pPr>
        <w:pStyle w:val="139"/>
        <w:snapToGrid w:val="0"/>
        <w:ind w:left="0"/>
        <w:jc w:val="both"/>
        <w:rPr>
          <w:rFonts w:eastAsiaTheme="minorEastAsia"/>
          <w:bCs/>
          <w:iCs/>
          <w:color w:val="FF0000"/>
          <w:sz w:val="18"/>
          <w:szCs w:val="18"/>
        </w:rPr>
      </w:pPr>
    </w:p>
    <w:p>
      <w:pPr>
        <w:pStyle w:val="39"/>
        <w:numPr>
          <w:ilvl w:val="1"/>
          <w:numId w:val="3"/>
        </w:numPr>
        <w:snapToGrid w:val="0"/>
        <w:spacing w:before="180" w:after="180" w:line="240" w:lineRule="auto"/>
        <w:ind w:left="578" w:hanging="578"/>
        <w:rPr>
          <w:rFonts w:ascii="Arial" w:hAnsi="Arial" w:cs="Arial"/>
          <w:sz w:val="24"/>
          <w:szCs w:val="24"/>
        </w:rPr>
      </w:pPr>
      <w:r>
        <w:rPr>
          <w:rFonts w:hint="eastAsia" w:ascii="Arial" w:hAnsi="Arial" w:eastAsia="宋体" w:cs="Arial"/>
          <w:sz w:val="24"/>
          <w:szCs w:val="24"/>
        </w:rPr>
        <w:t>More conditions</w:t>
      </w: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eastAsia="宋体"/>
          <w:b/>
          <w:bCs/>
          <w:sz w:val="20"/>
          <w:szCs w:val="20"/>
        </w:rPr>
      </w:pPr>
      <w:r>
        <w:rPr>
          <w:rFonts w:eastAsia="宋体"/>
          <w:b/>
          <w:bCs/>
          <w:sz w:val="20"/>
          <w:szCs w:val="20"/>
        </w:rPr>
        <w:t xml:space="preserve">FL comment: </w:t>
      </w:r>
    </w:p>
    <w:p>
      <w:pPr>
        <w:snapToGrid w:val="0"/>
        <w:jc w:val="both"/>
        <w:rPr>
          <w:rFonts w:eastAsia="宋体"/>
          <w:sz w:val="20"/>
          <w:szCs w:val="20"/>
        </w:rPr>
      </w:pPr>
      <w:r>
        <w:rPr>
          <w:rFonts w:eastAsia="宋体"/>
          <w:sz w:val="20"/>
          <w:szCs w:val="20"/>
        </w:rPr>
        <w:t xml:space="preserve">Huawei analyses the performance </w:t>
      </w:r>
      <w:r>
        <w:rPr>
          <w:rFonts w:hint="eastAsia" w:eastAsia="宋体"/>
          <w:sz w:val="20"/>
          <w:szCs w:val="20"/>
        </w:rPr>
        <w:t xml:space="preserve">impact of </w:t>
      </w:r>
      <w:r>
        <w:rPr>
          <w:rFonts w:eastAsia="宋体"/>
          <w:sz w:val="20"/>
          <w:szCs w:val="20"/>
        </w:rPr>
        <w:t>the gap size between two aggregated SRS/PRS in the adjacent CCs/PFLs. Hence, they think the gap size should not be larger than a threshold</w:t>
      </w:r>
      <w:r>
        <w:rPr>
          <w:rFonts w:hint="eastAsia" w:eastAsia="宋体"/>
          <w:sz w:val="20"/>
          <w:szCs w:val="20"/>
        </w:rPr>
        <w:t>, and the threshold value(s)</w:t>
      </w:r>
      <w:r>
        <w:rPr>
          <w:rFonts w:eastAsia="宋体"/>
          <w:sz w:val="20"/>
          <w:szCs w:val="20"/>
        </w:rPr>
        <w:t xml:space="preserve"> can be up to RAN4.</w:t>
      </w:r>
    </w:p>
    <w:p>
      <w:pPr>
        <w:pStyle w:val="139"/>
        <w:snapToGrid w:val="0"/>
        <w:spacing w:before="180"/>
        <w:ind w:left="0"/>
        <w:jc w:val="both"/>
        <w:rPr>
          <w:bCs/>
          <w:sz w:val="20"/>
          <w:lang w:eastAsia="zh-CN"/>
        </w:rPr>
      </w:pPr>
      <w:r>
        <w:rPr>
          <w:bCs/>
          <w:sz w:val="20"/>
          <w:lang w:eastAsia="zh-CN"/>
        </w:rPr>
        <w:t>Xiaomi suggests the same sequence ID for the linked resources. FL thinks it is unnecessary</w:t>
      </w:r>
      <w:r>
        <w:rPr>
          <w:rFonts w:hint="eastAsia"/>
          <w:bCs/>
          <w:sz w:val="20"/>
          <w:lang w:eastAsia="zh-CN"/>
        </w:rPr>
        <w:t xml:space="preserve"> since the sequence ID doesn</w:t>
      </w:r>
      <w:r>
        <w:rPr>
          <w:bCs/>
          <w:sz w:val="20"/>
          <w:lang w:eastAsia="zh-CN"/>
        </w:rPr>
        <w:t>’</w:t>
      </w:r>
      <w:r>
        <w:rPr>
          <w:rFonts w:hint="eastAsia"/>
          <w:bCs/>
          <w:sz w:val="20"/>
          <w:lang w:eastAsia="zh-CN"/>
        </w:rPr>
        <w:t>t impact anything.</w:t>
      </w:r>
      <w:r>
        <w:rPr>
          <w:bCs/>
          <w:sz w:val="20"/>
          <w:lang w:eastAsia="zh-CN"/>
        </w:rPr>
        <w:t xml:space="preserve"> </w:t>
      </w:r>
    </w:p>
    <w:p>
      <w:pPr>
        <w:pStyle w:val="139"/>
        <w:snapToGrid w:val="0"/>
        <w:spacing w:before="180"/>
        <w:ind w:left="0"/>
        <w:jc w:val="both"/>
        <w:rPr>
          <w:bCs/>
          <w:sz w:val="20"/>
          <w:lang w:eastAsia="zh-CN"/>
        </w:rPr>
      </w:pPr>
      <w:r>
        <w:rPr>
          <w:rFonts w:hint="eastAsia"/>
          <w:bCs/>
          <w:sz w:val="20"/>
          <w:lang w:eastAsia="zh-CN"/>
        </w:rPr>
        <w:t>Intel and CMCC further suggest the same number of resources for the linked PRS/SRS resource sets.</w:t>
      </w:r>
    </w:p>
    <w:p>
      <w:pPr>
        <w:pStyle w:val="139"/>
        <w:snapToGrid w:val="0"/>
        <w:spacing w:before="180"/>
        <w:ind w:left="0"/>
        <w:jc w:val="both"/>
        <w:rPr>
          <w:rFonts w:ascii="Times" w:hAnsi="Times" w:cs="Times"/>
          <w:bCs/>
          <w:sz w:val="20"/>
          <w:lang w:eastAsia="zh-CN"/>
        </w:rPr>
      </w:pPr>
      <w:r>
        <w:rPr>
          <w:rFonts w:ascii="Times" w:hAnsi="Times" w:cs="Times"/>
          <w:bCs/>
          <w:sz w:val="20"/>
          <w:lang w:eastAsia="zh-CN"/>
        </w:rPr>
        <w:t>Lets try the following proposal.</w:t>
      </w:r>
    </w:p>
    <w:p>
      <w:pPr>
        <w:snapToGrid w:val="0"/>
        <w:jc w:val="both"/>
        <w:rPr>
          <w:rFonts w:ascii="Times" w:hAnsi="Times" w:cs="Times"/>
          <w:b/>
          <w:bCs/>
          <w:sz w:val="20"/>
          <w:szCs w:val="20"/>
        </w:rPr>
      </w:pPr>
    </w:p>
    <w:p>
      <w:pPr>
        <w:snapToGrid w:val="0"/>
        <w:jc w:val="both"/>
        <w:rPr>
          <w:rFonts w:ascii="Times" w:hAnsi="Times" w:cs="Times"/>
          <w:b/>
          <w:bCs/>
          <w:sz w:val="20"/>
          <w:szCs w:val="20"/>
        </w:rPr>
      </w:pPr>
      <w:r>
        <w:rPr>
          <w:rFonts w:ascii="Times" w:hAnsi="Times" w:cs="Times"/>
          <w:b/>
          <w:bCs/>
          <w:sz w:val="20"/>
          <w:szCs w:val="20"/>
        </w:rPr>
        <w:t>Proposal 2.2-1</w:t>
      </w:r>
    </w:p>
    <w:p>
      <w:pPr>
        <w:snapToGrid w:val="0"/>
        <w:jc w:val="both"/>
        <w:rPr>
          <w:rFonts w:ascii="Times" w:hAnsi="Times" w:cs="Times"/>
          <w:sz w:val="20"/>
        </w:rPr>
      </w:pPr>
      <w:r>
        <w:rPr>
          <w:rFonts w:ascii="Times" w:hAnsi="Times" w:cs="Times"/>
          <w:sz w:val="20"/>
        </w:rPr>
        <w:t xml:space="preserve">For PRS/SRS bandwidth aggregation between two or three different PFLs/carriers, the following conditions are further needed </w:t>
      </w:r>
    </w:p>
    <w:p>
      <w:pPr>
        <w:pStyle w:val="139"/>
        <w:numPr>
          <w:ilvl w:val="0"/>
          <w:numId w:val="18"/>
        </w:numPr>
        <w:snapToGrid w:val="0"/>
        <w:jc w:val="both"/>
        <w:rPr>
          <w:rFonts w:ascii="Times" w:hAnsi="Times" w:cs="Times"/>
          <w:sz w:val="20"/>
          <w:lang w:eastAsia="zh-CN"/>
        </w:rPr>
      </w:pPr>
      <w:r>
        <w:rPr>
          <w:rFonts w:ascii="Times" w:hAnsi="Times" w:cs="Times"/>
          <w:sz w:val="20"/>
          <w:lang w:eastAsia="zh-CN"/>
        </w:rPr>
        <w:t>The gap size in the frequency domain between two aggregated PRS/SRS in the adjacent PFLs/CCs should be no larger than X/Y, where the specific value of X/Y can be determined by RAN4</w:t>
      </w:r>
    </w:p>
    <w:p>
      <w:pPr>
        <w:pStyle w:val="139"/>
        <w:numPr>
          <w:ilvl w:val="1"/>
          <w:numId w:val="18"/>
        </w:numPr>
        <w:snapToGrid w:val="0"/>
        <w:jc w:val="both"/>
        <w:rPr>
          <w:rFonts w:ascii="Times" w:hAnsi="Times" w:cs="Times"/>
          <w:sz w:val="20"/>
          <w:lang w:eastAsia="zh-CN"/>
        </w:rPr>
      </w:pPr>
      <w:r>
        <w:rPr>
          <w:rFonts w:ascii="Times" w:hAnsi="Times" w:cs="Times"/>
          <w:sz w:val="20"/>
          <w:lang w:eastAsia="zh-CN"/>
        </w:rPr>
        <w:t>Send an LS to RAN4</w:t>
      </w:r>
    </w:p>
    <w:p>
      <w:pPr>
        <w:pStyle w:val="139"/>
        <w:numPr>
          <w:ilvl w:val="0"/>
          <w:numId w:val="18"/>
        </w:numPr>
        <w:snapToGrid w:val="0"/>
        <w:jc w:val="both"/>
        <w:rPr>
          <w:rFonts w:ascii="Times" w:hAnsi="Times" w:cs="Times" w:eastAsiaTheme="minorEastAsia"/>
          <w:bCs/>
          <w:iCs/>
          <w:sz w:val="18"/>
          <w:szCs w:val="18"/>
        </w:rPr>
      </w:pPr>
      <w:r>
        <w:rPr>
          <w:rFonts w:ascii="Times" w:hAnsi="Times" w:cs="Times"/>
          <w:sz w:val="20"/>
          <w:lang w:eastAsia="zh-CN"/>
        </w:rPr>
        <w:t>The same number of resources in the linked PRS/SRS resource sets</w:t>
      </w:r>
    </w:p>
    <w:p>
      <w:pPr>
        <w:pStyle w:val="139"/>
        <w:ind w:left="0"/>
        <w:rPr>
          <w:rFonts w:ascii="Times" w:hAnsi="Times" w:cs="Times"/>
          <w:b/>
          <w:i/>
        </w:rPr>
      </w:pPr>
    </w:p>
    <w:p>
      <w:pPr>
        <w:pStyle w:val="139"/>
        <w:snapToGrid w:val="0"/>
        <w:spacing w:after="0"/>
        <w:ind w:left="0"/>
        <w:textAlignment w:val="auto"/>
        <w:rPr>
          <w:rFonts w:eastAsiaTheme="minorEastAsia"/>
          <w:sz w:val="20"/>
          <w:lang w:eastAsia="zh-CN"/>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rFonts w:hint="eastAsia"/>
                <w:b/>
                <w:iCs/>
                <w:sz w:val="18"/>
                <w:szCs w:val="18"/>
              </w:rPr>
              <w:t>Company</w:t>
            </w:r>
          </w:p>
        </w:tc>
        <w:tc>
          <w:tcPr>
            <w:tcW w:w="7508"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vivo</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We are okay with second sub-bullet</w:t>
            </w:r>
          </w:p>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But for the first bullet, we wonder it is necessary since the additional bandwidth with larger gap can also improve performance and bandwidth of a band is limited.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OPPO</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Ok with the proposal in principle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Qualcomm</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We are Ok with the 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but not really necessary. We can go with majority view.</w:t>
            </w:r>
          </w:p>
          <w:p>
            <w:pPr>
              <w:snapToGrid w:val="0"/>
              <w:spacing w:before="120" w:after="120"/>
              <w:contextualSpacing/>
              <w:rPr>
                <w:rFonts w:eastAsiaTheme="minorEastAsia"/>
                <w:iCs/>
                <w:sz w:val="18"/>
                <w:szCs w:val="18"/>
                <w:lang w:val="en-GB"/>
              </w:rPr>
            </w:pPr>
          </w:p>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With regards to the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are aware of this issue and depending on UE implementation there may be more or less degradation. We are generally supportive of discussing this issue, but we believe that a more forward compatible way of treating it might be by introducing a UE capability. Note that this “X” may depend on a few factors including which band we are talking about and how the UE implements the feature.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Spreadtrum</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For the 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we think it is not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Xiaomi</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As for the sequence ID,  the benifits from different sequence ID is not clear. But with same sequence ID, configuration signaling can be reduced for some PFLs/CCs.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Huawei, HiSilicon</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For the first bullet, the gap size in the frequency domain between two aggregated PRS/SRS do affect the accuracy of TOA estimation. We think it’s necessary to discuss the problem. Sendind an LS to RAN4 can be a start point.</w:t>
            </w:r>
          </w:p>
          <w:p>
            <w:pPr>
              <w:snapToGrid w:val="0"/>
              <w:spacing w:before="120" w:after="120"/>
              <w:contextualSpacing/>
              <w:rPr>
                <w:rFonts w:eastAsiaTheme="minorEastAsia"/>
                <w:iCs/>
                <w:sz w:val="18"/>
                <w:szCs w:val="18"/>
                <w:lang w:val="en-GB"/>
              </w:rPr>
            </w:pPr>
          </w:p>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For the second bullet, we prefer to support it,</w:t>
            </w:r>
            <w:r>
              <w:rPr>
                <w:rFonts w:hint="eastAsia"/>
                <w:szCs w:val="20"/>
              </w:rPr>
              <w:t xml:space="preserve"> </w:t>
            </w:r>
            <w:r>
              <w:rPr>
                <w:rFonts w:hint="eastAsia" w:eastAsiaTheme="minorEastAsia"/>
                <w:iCs/>
                <w:sz w:val="18"/>
                <w:szCs w:val="18"/>
                <w:lang w:val="en-GB"/>
              </w:rPr>
              <w:t>so that there is a one-to-one mapping between the resources in two linked resource sets.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CATT</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For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are fine for further discussion in RAN4.</w:t>
            </w:r>
          </w:p>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For 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it seems not needed. But, we can also go with the majority.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 xml:space="preserve">Samsung </w:t>
            </w:r>
          </w:p>
        </w:tc>
        <w:tc>
          <w:tcPr>
            <w:tcW w:w="7508" w:type="dxa"/>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For the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agree to send an LS to RAN4 for further check whether there should be an limit for the max gap size between the adjacent PFLs/CCs since the per-symbol uniformly spaced PRS pattern across aggregated bandwidths is up to implementation.</w:t>
            </w:r>
          </w:p>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For the 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it looks like an optimization other than a necessary 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Qualcomm2</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We would like to add to our proposal with regards ot the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w:t>
            </w:r>
          </w:p>
          <w:p>
            <w:pPr>
              <w:pStyle w:val="139"/>
              <w:numPr>
                <w:ilvl w:val="0"/>
                <w:numId w:val="20"/>
              </w:numPr>
              <w:snapToGrid w:val="0"/>
              <w:spacing w:before="120" w:after="120"/>
              <w:rPr>
                <w:rFonts w:eastAsiaTheme="minorEastAsia"/>
                <w:iCs/>
                <w:sz w:val="18"/>
                <w:szCs w:val="18"/>
                <w:lang w:val="en-GB"/>
              </w:rPr>
            </w:pPr>
            <w:r>
              <w:rPr>
                <w:rFonts w:hint="eastAsia" w:eastAsiaTheme="minorEastAsia"/>
                <w:iCs/>
                <w:sz w:val="18"/>
                <w:szCs w:val="18"/>
                <w:lang w:val="en-GB"/>
              </w:rPr>
              <w:t xml:space="preserve">The PFLs are expected to be intra-band contiguous, and that alone, would mean a maximum gap between the 2 PFLs. In Huawei’s figure, they show “2 CCs” being very far away, on CCs that are close by. We don’t interpret the DL-PRS PFL aggregation that way. For intra-band contigious PFL aggregation, the gap between the 2 PFLs shall be small. </w:t>
            </w:r>
          </w:p>
          <w:p>
            <w:pPr>
              <w:pStyle w:val="139"/>
              <w:numPr>
                <w:ilvl w:val="0"/>
                <w:numId w:val="20"/>
              </w:numPr>
              <w:snapToGrid w:val="0"/>
              <w:spacing w:before="120" w:after="120"/>
              <w:rPr>
                <w:rFonts w:eastAsiaTheme="minorEastAsia"/>
                <w:iCs/>
                <w:sz w:val="18"/>
                <w:szCs w:val="18"/>
                <w:lang w:val="en-GB"/>
              </w:rPr>
            </w:pPr>
            <w:r>
              <w:rPr>
                <w:rFonts w:hint="eastAsia" w:eastAsiaTheme="minorEastAsia"/>
                <w:iCs/>
                <w:sz w:val="18"/>
                <w:szCs w:val="18"/>
                <w:lang w:val="en-GB"/>
              </w:rPr>
              <w:t>Maybe Huawei’s view is related to UL, in which case, yes the CCs can be intraband contiguous (and therefore close-by in frequency), but the SRS BWs can be smaller and farther away. This Is not a burden for the UE, but rather for TRP processing. However, at the same time, it is gNB’s responsibility to configure SRS that are close-by and avoid misconfiguring SRS that have a large gap in between.</w:t>
            </w:r>
          </w:p>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Having said the above, we still acknowledge that the performance depends on the gap, but, for intra-band contiguous PFLs (in RAN4 sense), this gap is rather small (</w:t>
            </w:r>
            <w:r>
              <w:rPr>
                <w:rFonts w:hint="eastAsia" w:ascii="Calibri" w:hAnsi="Calibri" w:cs="Calibri"/>
                <w:sz w:val="22"/>
                <w:szCs w:val="22"/>
              </w:rPr>
              <w:t>RAN4 has defined a maximum separation in 38.101-x specs</w:t>
            </w:r>
            <w:r>
              <w:rPr>
                <w:rFonts w:hint="eastAsia" w:eastAsiaTheme="minorEastAsia"/>
                <w:iCs/>
                <w:sz w:val="18"/>
                <w:szCs w:val="18"/>
              </w:rPr>
              <w:t>); it will be less than 10% in all cases (if i am not wrong), or</w:t>
            </w:r>
            <w:r>
              <w:rPr>
                <w:rFonts w:hint="eastAsia" w:eastAsiaTheme="minorEastAsia"/>
                <w:iCs/>
                <w:sz w:val="18"/>
                <w:szCs w:val="18"/>
                <w:lang w:val="en-GB"/>
              </w:rPr>
              <w:t xml:space="preserve"> does Huawei have a different understanding on what is allowed as maximum separation?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LGE</w:t>
            </w:r>
          </w:p>
        </w:tc>
        <w:tc>
          <w:tcPr>
            <w:tcW w:w="7508" w:type="dxa"/>
          </w:tcPr>
          <w:p>
            <w:pPr>
              <w:snapToGrid w:val="0"/>
              <w:spacing w:before="120" w:after="120"/>
              <w:rPr>
                <w:rFonts w:eastAsiaTheme="minorEastAsia"/>
                <w:iCs/>
                <w:sz w:val="18"/>
                <w:szCs w:val="18"/>
                <w:lang w:val="en-GB"/>
              </w:rPr>
            </w:pPr>
            <w:r>
              <w:rPr>
                <w:rFonts w:hint="eastAsia" w:eastAsiaTheme="minorEastAsia"/>
                <w:iCs/>
                <w:sz w:val="18"/>
                <w:szCs w:val="18"/>
                <w:lang w:val="en-GB"/>
              </w:rPr>
              <w:t>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think RAN4 is the right working group who can trigger the issue.</w:t>
            </w:r>
          </w:p>
          <w:p>
            <w:pPr>
              <w:snapToGrid w:val="0"/>
              <w:spacing w:before="120" w:after="120"/>
              <w:rPr>
                <w:rFonts w:eastAsiaTheme="minorEastAsia"/>
                <w:iCs/>
                <w:sz w:val="18"/>
                <w:szCs w:val="18"/>
                <w:lang w:val="en-GB"/>
              </w:rPr>
            </w:pPr>
            <w:r>
              <w:rPr>
                <w:rFonts w:hint="eastAsia" w:eastAsiaTheme="minorEastAsia"/>
                <w:iCs/>
                <w:sz w:val="18"/>
                <w:szCs w:val="18"/>
                <w:lang w:val="en-GB"/>
              </w:rPr>
              <w:t>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In our view, it is an unnecessary restriction.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Ericsson</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On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should leave this to RAN4 (similar view as LGE and some others).  So no need to discuss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in RAN1.</w:t>
            </w:r>
          </w:p>
          <w:p>
            <w:pPr>
              <w:snapToGrid w:val="0"/>
              <w:spacing w:before="120" w:after="120"/>
              <w:contextualSpacing/>
              <w:rPr>
                <w:rFonts w:eastAsiaTheme="minorEastAsia"/>
                <w:iCs/>
                <w:sz w:val="18"/>
                <w:szCs w:val="18"/>
                <w:lang w:val="en-GB"/>
              </w:rPr>
            </w:pPr>
          </w:p>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the restricsion may not be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Nokia/NSB</w:t>
            </w:r>
          </w:p>
        </w:tc>
        <w:tc>
          <w:tcPr>
            <w:tcW w:w="7508" w:type="dxa"/>
            <w:vAlign w:val="center"/>
          </w:tcPr>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For the 1</w:t>
            </w:r>
            <w:r>
              <w:rPr>
                <w:rFonts w:hint="eastAsia" w:eastAsiaTheme="minorEastAsia"/>
                <w:iCs/>
                <w:sz w:val="18"/>
                <w:szCs w:val="18"/>
                <w:vertAlign w:val="superscript"/>
                <w:lang w:val="en-GB"/>
              </w:rPr>
              <w:t>st</w:t>
            </w:r>
            <w:r>
              <w:rPr>
                <w:rFonts w:hint="eastAsia" w:eastAsiaTheme="minorEastAsia"/>
                <w:iCs/>
                <w:sz w:val="18"/>
                <w:szCs w:val="18"/>
                <w:lang w:val="en-GB"/>
              </w:rPr>
              <w:t xml:space="preserve"> bullet, we may need some discussion if there is any performance issue. In our understanding, the uplink case can be handled by network configuration but it looks it is ambiguous what the intra-band bandwidth aggregation in terms of PFLs.</w:t>
            </w:r>
          </w:p>
          <w:p>
            <w:pPr>
              <w:snapToGrid w:val="0"/>
              <w:spacing w:before="120" w:after="120"/>
              <w:contextualSpacing/>
              <w:rPr>
                <w:rFonts w:eastAsiaTheme="minorEastAsia"/>
                <w:iCs/>
                <w:sz w:val="18"/>
                <w:szCs w:val="18"/>
                <w:lang w:val="en-GB"/>
              </w:rPr>
            </w:pPr>
          </w:p>
          <w:p>
            <w:pPr>
              <w:snapToGrid w:val="0"/>
              <w:spacing w:before="120" w:after="120"/>
              <w:contextualSpacing/>
              <w:rPr>
                <w:rFonts w:eastAsiaTheme="minorEastAsia"/>
                <w:iCs/>
                <w:sz w:val="18"/>
                <w:szCs w:val="18"/>
                <w:lang w:val="en-GB"/>
              </w:rPr>
            </w:pPr>
            <w:r>
              <w:rPr>
                <w:rFonts w:hint="eastAsia" w:eastAsiaTheme="minorEastAsia"/>
                <w:iCs/>
                <w:sz w:val="18"/>
                <w:szCs w:val="18"/>
                <w:lang w:val="en-GB"/>
              </w:rPr>
              <w:t>For the 2</w:t>
            </w:r>
            <w:r>
              <w:rPr>
                <w:rFonts w:hint="eastAsia" w:eastAsiaTheme="minorEastAsia"/>
                <w:iCs/>
                <w:sz w:val="18"/>
                <w:szCs w:val="18"/>
                <w:vertAlign w:val="superscript"/>
                <w:lang w:val="en-GB"/>
              </w:rPr>
              <w:t>nd</w:t>
            </w:r>
            <w:r>
              <w:rPr>
                <w:rFonts w:hint="eastAsia" w:eastAsiaTheme="minorEastAsia"/>
                <w:iCs/>
                <w:sz w:val="18"/>
                <w:szCs w:val="18"/>
                <w:lang w:val="en-GB"/>
              </w:rPr>
              <w:t xml:space="preserve"> bullet, we don’t support this as it is unnecessary configuration restriction from the network.</w:t>
            </w:r>
          </w:p>
        </w:tc>
      </w:tr>
    </w:tbl>
    <w:p>
      <w:pPr>
        <w:pStyle w:val="139"/>
        <w:snapToGrid w:val="0"/>
        <w:ind w:left="0"/>
        <w:jc w:val="both"/>
        <w:rPr>
          <w:rFonts w:eastAsiaTheme="minorEastAsia"/>
          <w:bCs/>
          <w:iCs/>
          <w:color w:val="FF0000"/>
          <w:sz w:val="18"/>
          <w:szCs w:val="18"/>
          <w:lang w:val="en-GB"/>
        </w:rPr>
      </w:pPr>
    </w:p>
    <w:p>
      <w:pPr>
        <w:pStyle w:val="139"/>
        <w:snapToGrid w:val="0"/>
        <w:ind w:left="0"/>
        <w:jc w:val="both"/>
        <w:rPr>
          <w:rFonts w:eastAsiaTheme="minorEastAsia"/>
          <w:bCs/>
          <w:iCs/>
          <w:color w:val="FF0000"/>
          <w:sz w:val="18"/>
          <w:szCs w:val="18"/>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TEG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8"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sz w:val="20"/>
                <w:szCs w:val="20"/>
                <w:lang w:val="en-GB"/>
              </w:rPr>
            </w:pPr>
            <w:r>
              <w:rPr>
                <w:rFonts w:hint="eastAsia"/>
                <w:sz w:val="20"/>
                <w:szCs w:val="20"/>
                <w:lang w:val="en-GB"/>
              </w:rPr>
              <w:t>vivo</w:t>
            </w:r>
          </w:p>
        </w:tc>
        <w:tc>
          <w:tcPr>
            <w:tcW w:w="8228" w:type="dxa"/>
            <w:tcBorders>
              <w:top w:val="single" w:color="auto" w:sz="4" w:space="0"/>
              <w:left w:val="single" w:color="auto" w:sz="4" w:space="0"/>
              <w:bottom w:val="single" w:color="auto" w:sz="4" w:space="0"/>
              <w:right w:val="single" w:color="auto" w:sz="4" w:space="0"/>
            </w:tcBorders>
          </w:tcPr>
          <w:p>
            <w:pPr>
              <w:widowControl w:val="0"/>
              <w:snapToGrid w:val="0"/>
              <w:spacing w:before="180" w:beforeLines="50" w:after="180" w:afterLines="50"/>
              <w:ind w:left="45"/>
              <w:jc w:val="both"/>
              <w:rPr>
                <w:rFonts w:eastAsiaTheme="minorEastAsia"/>
                <w:sz w:val="20"/>
                <w:szCs w:val="20"/>
              </w:rPr>
            </w:pPr>
            <w:r>
              <w:rPr>
                <w:rFonts w:hint="eastAsia" w:eastAsiaTheme="minorEastAsia"/>
                <w:sz w:val="20"/>
                <w:szCs w:val="20"/>
              </w:rPr>
              <w:t>Proposal 1</w:t>
            </w:r>
          </w:p>
          <w:p>
            <w:pPr>
              <w:numPr>
                <w:ilvl w:val="0"/>
                <w:numId w:val="7"/>
              </w:numPr>
              <w:snapToGrid w:val="0"/>
              <w:spacing w:before="180" w:beforeLines="50" w:after="180" w:afterLines="50"/>
              <w:jc w:val="both"/>
              <w:rPr>
                <w:rFonts w:eastAsia="宋体"/>
                <w:sz w:val="20"/>
                <w:szCs w:val="20"/>
              </w:rPr>
            </w:pPr>
            <w:r>
              <w:rPr>
                <w:rFonts w:hint="eastAsia" w:eastAsia="宋体"/>
                <w:sz w:val="20"/>
                <w:szCs w:val="20"/>
              </w:rPr>
              <w:t>To enable PRS bandwidth aggregation between PRS in two or three different PFLs, the following additional conditions should be satisfied for the aggregated PRS resources from a TRP</w:t>
            </w:r>
          </w:p>
          <w:p>
            <w:pPr>
              <w:numPr>
                <w:ilvl w:val="1"/>
                <w:numId w:val="7"/>
              </w:numPr>
              <w:snapToGrid w:val="0"/>
              <w:spacing w:before="180" w:beforeLines="50" w:after="180" w:afterLines="50"/>
              <w:jc w:val="both"/>
              <w:rPr>
                <w:rFonts w:eastAsia="宋体"/>
                <w:sz w:val="20"/>
                <w:szCs w:val="20"/>
              </w:rPr>
            </w:pPr>
            <w:r>
              <w:rPr>
                <w:rFonts w:hint="eastAsia" w:eastAsia="宋体"/>
                <w:sz w:val="20"/>
                <w:szCs w:val="20"/>
              </w:rPr>
              <w:t>The same antenna port</w:t>
            </w:r>
          </w:p>
          <w:p>
            <w:pPr>
              <w:numPr>
                <w:ilvl w:val="1"/>
                <w:numId w:val="7"/>
              </w:numPr>
              <w:snapToGrid w:val="0"/>
              <w:spacing w:before="180" w:beforeLines="50" w:after="180" w:afterLines="50"/>
              <w:jc w:val="both"/>
              <w:rPr>
                <w:rFonts w:eastAsia="宋体"/>
                <w:sz w:val="20"/>
                <w:szCs w:val="20"/>
              </w:rPr>
            </w:pPr>
            <w:r>
              <w:rPr>
                <w:rFonts w:hint="eastAsia" w:eastAsia="宋体"/>
                <w:sz w:val="20"/>
                <w:szCs w:val="20"/>
              </w:rPr>
              <w:t>The same TEG ID</w:t>
            </w:r>
          </w:p>
          <w:p>
            <w:pPr>
              <w:numPr>
                <w:ilvl w:val="0"/>
                <w:numId w:val="7"/>
              </w:numPr>
              <w:snapToGrid w:val="0"/>
              <w:spacing w:before="180" w:beforeLines="50" w:after="180" w:afterLines="50"/>
              <w:jc w:val="both"/>
              <w:rPr>
                <w:rFonts w:eastAsia="宋体"/>
                <w:sz w:val="20"/>
                <w:szCs w:val="20"/>
              </w:rPr>
            </w:pPr>
            <w:r>
              <w:rPr>
                <w:rFonts w:hint="eastAsia" w:eastAsia="宋体"/>
                <w:sz w:val="20"/>
                <w:szCs w:val="20"/>
              </w:rPr>
              <w:t>Phase/timing continuity between PFLs can be up to RAN4.</w:t>
            </w:r>
          </w:p>
          <w:p>
            <w:pPr>
              <w:widowControl w:val="0"/>
              <w:snapToGrid w:val="0"/>
              <w:spacing w:before="180" w:beforeLines="50" w:after="180" w:afterLines="50"/>
              <w:ind w:left="45"/>
              <w:jc w:val="both"/>
              <w:rPr>
                <w:rFonts w:eastAsia="宋体"/>
                <w:color w:val="000000"/>
                <w:kern w:val="2"/>
                <w:sz w:val="20"/>
                <w:szCs w:val="20"/>
              </w:rPr>
            </w:pPr>
            <w:r>
              <w:rPr>
                <w:rFonts w:hint="eastAsia" w:eastAsia="宋体"/>
                <w:color w:val="000000"/>
                <w:kern w:val="2"/>
                <w:sz w:val="20"/>
                <w:szCs w:val="20"/>
              </w:rPr>
              <w:t>Proposal 2</w:t>
            </w:r>
          </w:p>
          <w:p>
            <w:pPr>
              <w:numPr>
                <w:ilvl w:val="0"/>
                <w:numId w:val="7"/>
              </w:numPr>
              <w:snapToGrid w:val="0"/>
              <w:spacing w:before="180" w:beforeLines="50" w:after="180" w:afterLines="50"/>
              <w:jc w:val="both"/>
              <w:rPr>
                <w:rFonts w:eastAsia="宋体"/>
                <w:sz w:val="20"/>
                <w:szCs w:val="20"/>
              </w:rPr>
            </w:pPr>
            <w:r>
              <w:rPr>
                <w:rFonts w:hint="eastAsia" w:eastAsia="宋体"/>
                <w:sz w:val="20"/>
                <w:szCs w:val="20"/>
              </w:rPr>
              <w:t>To enable SRS bandwidth aggregation between SRS in two or three carriers, the following additional conditions should be satisfied for the aggregated SRS resources</w:t>
            </w:r>
          </w:p>
          <w:p>
            <w:pPr>
              <w:numPr>
                <w:ilvl w:val="1"/>
                <w:numId w:val="7"/>
              </w:numPr>
              <w:snapToGrid w:val="0"/>
              <w:spacing w:before="180" w:beforeLines="50" w:after="180" w:afterLines="50"/>
              <w:jc w:val="both"/>
              <w:rPr>
                <w:rFonts w:eastAsia="宋体"/>
                <w:sz w:val="20"/>
                <w:szCs w:val="20"/>
              </w:rPr>
            </w:pPr>
            <w:r>
              <w:rPr>
                <w:rFonts w:hint="eastAsia" w:eastAsia="宋体"/>
                <w:sz w:val="20"/>
                <w:szCs w:val="20"/>
              </w:rPr>
              <w:t>The same antenna port</w:t>
            </w:r>
          </w:p>
          <w:p>
            <w:pPr>
              <w:numPr>
                <w:ilvl w:val="1"/>
                <w:numId w:val="7"/>
              </w:numPr>
              <w:snapToGrid w:val="0"/>
              <w:spacing w:before="180" w:beforeLines="50" w:after="180" w:afterLines="50"/>
              <w:jc w:val="both"/>
              <w:rPr>
                <w:rFonts w:eastAsia="宋体"/>
                <w:sz w:val="20"/>
                <w:szCs w:val="20"/>
              </w:rPr>
            </w:pPr>
            <w:r>
              <w:rPr>
                <w:rFonts w:hint="eastAsia" w:eastAsia="宋体"/>
                <w:sz w:val="20"/>
                <w:szCs w:val="20"/>
              </w:rPr>
              <w:t>The same TEG ID</w:t>
            </w:r>
          </w:p>
          <w:p>
            <w:pPr>
              <w:numPr>
                <w:ilvl w:val="0"/>
                <w:numId w:val="7"/>
              </w:numPr>
              <w:snapToGrid w:val="0"/>
              <w:spacing w:before="180" w:beforeLines="50" w:after="180" w:afterLines="50"/>
              <w:jc w:val="both"/>
              <w:rPr>
                <w:rFonts w:eastAsia="宋体"/>
                <w:sz w:val="20"/>
                <w:szCs w:val="20"/>
              </w:rPr>
            </w:pPr>
            <w:r>
              <w:rPr>
                <w:rFonts w:hint="eastAsia" w:eastAsia="宋体"/>
                <w:sz w:val="20"/>
                <w:szCs w:val="20"/>
              </w:rPr>
              <w:t>Phase/timing continuity between carriers can be up to RAN4</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3"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hint="eastAsia" w:eastAsia="宋体"/>
                <w:sz w:val="20"/>
                <w:szCs w:val="20"/>
              </w:rPr>
              <w:t>Qualcomm</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textAlignment w:val="center"/>
              <w:rPr>
                <w:sz w:val="20"/>
                <w:szCs w:val="20"/>
              </w:rPr>
            </w:pPr>
            <w:r>
              <w:rPr>
                <w:rFonts w:hint="eastAsia"/>
                <w:sz w:val="20"/>
                <w:szCs w:val="20"/>
              </w:rPr>
              <w:t>Proposal 3: The PRS resources linked for PRS aggregation purposes resources can be on the same or different TxTEG.</w:t>
            </w:r>
          </w:p>
          <w:p>
            <w:pPr>
              <w:pStyle w:val="193"/>
              <w:numPr>
                <w:ilvl w:val="1"/>
                <w:numId w:val="21"/>
              </w:numPr>
              <w:snapToGrid w:val="0"/>
              <w:spacing w:before="180" w:beforeLines="50" w:beforeAutospacing="0" w:afterLines="50"/>
              <w:textAlignment w:val="center"/>
              <w:rPr>
                <w:sz w:val="20"/>
                <w:szCs w:val="20"/>
              </w:rPr>
            </w:pPr>
            <w:r>
              <w:rPr>
                <w:rFonts w:hint="eastAsia"/>
                <w:sz w:val="20"/>
                <w:szCs w:val="20"/>
              </w:rPr>
              <w:t>That is, no additional constraint is needed to be agreed with regards to the Rx TEG ID used for the aggregated measurement.</w:t>
            </w:r>
          </w:p>
          <w:p>
            <w:pPr>
              <w:pStyle w:val="193"/>
              <w:numPr>
                <w:ilvl w:val="0"/>
                <w:numId w:val="21"/>
              </w:numPr>
              <w:snapToGrid w:val="0"/>
              <w:spacing w:before="180" w:beforeLines="50" w:beforeAutospacing="0" w:afterLines="50"/>
              <w:textAlignment w:val="center"/>
              <w:rPr>
                <w:sz w:val="20"/>
                <w:szCs w:val="20"/>
              </w:rPr>
            </w:pPr>
            <w:r>
              <w:rPr>
                <w:rFonts w:hint="eastAsia"/>
                <w:sz w:val="20"/>
                <w:szCs w:val="20"/>
              </w:rPr>
              <w:t xml:space="preserve">Up to RAN4 to decide what, if any, should be the maximum TX timing error margin for 2 PRS resources that are linked for PRS aggregation purposes. </w:t>
            </w:r>
          </w:p>
          <w:p>
            <w:pPr>
              <w:snapToGrid w:val="0"/>
              <w:spacing w:before="180" w:beforeLines="50" w:after="180" w:afterLines="50"/>
              <w:rPr>
                <w:sz w:val="20"/>
                <w:szCs w:val="20"/>
              </w:rPr>
            </w:pPr>
            <w:r>
              <w:rPr>
                <w:rFonts w:hint="eastAsia"/>
                <w:sz w:val="20"/>
                <w:szCs w:val="20"/>
              </w:rPr>
              <w:t>Proposal 9: For the SRS resources linked for SRS aggregation purposes, the UE can report same or different UE Tx TEG ID to be associated with SRS resources that are linked for aggregation purposes.</w:t>
            </w:r>
          </w:p>
          <w:p>
            <w:pPr>
              <w:numPr>
                <w:ilvl w:val="0"/>
                <w:numId w:val="22"/>
              </w:numPr>
              <w:snapToGrid w:val="0"/>
              <w:spacing w:before="180" w:beforeLines="50" w:after="180" w:afterLines="50"/>
              <w:jc w:val="both"/>
              <w:textAlignment w:val="center"/>
              <w:rPr>
                <w:sz w:val="20"/>
                <w:szCs w:val="20"/>
              </w:rPr>
            </w:pPr>
            <w:r>
              <w:rPr>
                <w:rFonts w:hint="eastAsia"/>
                <w:sz w:val="20"/>
                <w:szCs w:val="20"/>
              </w:rPr>
              <w:t xml:space="preserve">Up to RAN4 to decide what, if any, should be the maximum TX timing error margin for 2 SRS resources that are linked for aggregation pruposes. </w:t>
            </w:r>
          </w:p>
          <w:p>
            <w:pPr>
              <w:snapToGrid w:val="0"/>
              <w:spacing w:before="180" w:beforeLines="50" w:after="180" w:afterLines="50"/>
              <w:rPr>
                <w:rFonts w:eastAsia="宋体"/>
                <w:sz w:val="20"/>
                <w:szCs w:val="20"/>
              </w:rPr>
            </w:pPr>
            <w:r>
              <w:rPr>
                <w:rFonts w:hint="eastAsia"/>
                <w:sz w:val="20"/>
                <w:szCs w:val="20"/>
              </w:rPr>
              <w:t>Proposal 10: For the SRS resources linked for SRS aggregation purposes, no additional constraint is needed to be agreed with regards to the gNB Rx TEG ID used for the aggregated measurement.</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3"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hint="eastAsia" w:eastAsia="宋体"/>
                <w:sz w:val="20"/>
                <w:szCs w:val="20"/>
              </w:rPr>
              <w:t>Apple</w:t>
            </w:r>
          </w:p>
        </w:tc>
        <w:tc>
          <w:tcPr>
            <w:tcW w:w="8228" w:type="dxa"/>
            <w:tcBorders>
              <w:top w:val="single" w:color="auto" w:sz="4" w:space="0"/>
              <w:left w:val="single" w:color="auto" w:sz="4" w:space="0"/>
              <w:bottom w:val="single" w:color="auto" w:sz="4" w:space="0"/>
              <w:right w:val="single" w:color="auto" w:sz="4" w:space="0"/>
            </w:tcBorders>
          </w:tcPr>
          <w:p>
            <w:pPr>
              <w:tabs>
                <w:tab w:val="left" w:pos="640"/>
              </w:tabs>
              <w:snapToGrid w:val="0"/>
              <w:spacing w:before="180" w:beforeLines="50" w:after="180" w:afterLines="50"/>
              <w:jc w:val="both"/>
              <w:rPr>
                <w:sz w:val="20"/>
                <w:szCs w:val="20"/>
              </w:rPr>
            </w:pPr>
            <w:r>
              <w:rPr>
                <w:rFonts w:hint="eastAsia"/>
                <w:sz w:val="20"/>
                <w:szCs w:val="20"/>
              </w:rPr>
              <w:t xml:space="preserve">Proposal 1: For PRS bandwidth aggregation, the  following additional conditions should be satisfied: </w:t>
            </w:r>
          </w:p>
          <w:p>
            <w:pPr>
              <w:pStyle w:val="134"/>
              <w:numPr>
                <w:ilvl w:val="0"/>
                <w:numId w:val="12"/>
              </w:numPr>
              <w:snapToGrid w:val="0"/>
              <w:spacing w:before="180" w:beforeLines="50" w:after="180" w:afterLines="50"/>
              <w:rPr>
                <w:sz w:val="20"/>
                <w:szCs w:val="20"/>
              </w:rPr>
            </w:pPr>
            <w:r>
              <w:rPr>
                <w:rFonts w:hint="eastAsia"/>
                <w:sz w:val="20"/>
                <w:szCs w:val="20"/>
              </w:rPr>
              <w:t>It is not necessary to have the same number of PRS resource sets and resources for a TRP.</w:t>
            </w:r>
          </w:p>
          <w:p>
            <w:pPr>
              <w:pStyle w:val="134"/>
              <w:numPr>
                <w:ilvl w:val="0"/>
                <w:numId w:val="12"/>
              </w:numPr>
              <w:snapToGrid w:val="0"/>
              <w:spacing w:before="180" w:beforeLines="50" w:after="180" w:afterLines="50"/>
              <w:rPr>
                <w:sz w:val="20"/>
                <w:szCs w:val="20"/>
              </w:rPr>
            </w:pPr>
            <w:r>
              <w:rPr>
                <w:rFonts w:hint="eastAsia"/>
                <w:sz w:val="20"/>
                <w:szCs w:val="20"/>
              </w:rPr>
              <w:t>It is not necessary to have the same antenna port from a RAN1 perspective.</w:t>
            </w:r>
          </w:p>
          <w:p>
            <w:pPr>
              <w:pStyle w:val="134"/>
              <w:numPr>
                <w:ilvl w:val="0"/>
                <w:numId w:val="12"/>
              </w:numPr>
              <w:snapToGrid w:val="0"/>
              <w:spacing w:before="180" w:beforeLines="50" w:after="180" w:afterLines="50"/>
              <w:rPr>
                <w:sz w:val="20"/>
                <w:szCs w:val="20"/>
              </w:rPr>
            </w:pPr>
            <w:r>
              <w:rPr>
                <w:rFonts w:hint="eastAsia"/>
                <w:sz w:val="20"/>
                <w:szCs w:val="20"/>
              </w:rPr>
              <w:t>The condition that the gNB Tx TEG and UE Rx TEG should be the same is not needed</w:t>
            </w:r>
          </w:p>
          <w:p>
            <w:pPr>
              <w:tabs>
                <w:tab w:val="left" w:pos="640"/>
              </w:tabs>
              <w:snapToGrid w:val="0"/>
              <w:spacing w:before="180" w:beforeLines="50" w:after="180" w:afterLines="50"/>
              <w:jc w:val="both"/>
              <w:rPr>
                <w:sz w:val="20"/>
                <w:szCs w:val="20"/>
              </w:rPr>
            </w:pPr>
            <w:r>
              <w:rPr>
                <w:rFonts w:hint="eastAsia"/>
                <w:sz w:val="20"/>
                <w:szCs w:val="20"/>
              </w:rPr>
              <w:t xml:space="preserve">Proposal 8: For SRS bandwidth aggregation, the  following additional conditions should be satisfied: </w:t>
            </w:r>
          </w:p>
          <w:p>
            <w:pPr>
              <w:pStyle w:val="134"/>
              <w:numPr>
                <w:ilvl w:val="0"/>
                <w:numId w:val="12"/>
              </w:numPr>
              <w:snapToGrid w:val="0"/>
              <w:spacing w:before="180" w:beforeLines="50" w:after="180" w:afterLines="50"/>
              <w:rPr>
                <w:sz w:val="20"/>
                <w:szCs w:val="20"/>
              </w:rPr>
            </w:pPr>
            <w:r>
              <w:rPr>
                <w:rFonts w:hint="eastAsia"/>
                <w:sz w:val="20"/>
                <w:szCs w:val="20"/>
              </w:rPr>
              <w:t>SRS with RE-offset configuration which maintains contiguous SRS pattern across aggregated bandwidths even in the presence of guard tones</w:t>
            </w:r>
          </w:p>
          <w:p>
            <w:pPr>
              <w:pStyle w:val="134"/>
              <w:numPr>
                <w:ilvl w:val="0"/>
                <w:numId w:val="12"/>
              </w:numPr>
              <w:snapToGrid w:val="0"/>
              <w:spacing w:before="180" w:beforeLines="50" w:after="180" w:afterLines="50"/>
              <w:rPr>
                <w:sz w:val="20"/>
                <w:szCs w:val="20"/>
              </w:rPr>
            </w:pPr>
            <w:r>
              <w:rPr>
                <w:rFonts w:hint="eastAsia"/>
                <w:sz w:val="20"/>
                <w:szCs w:val="20"/>
              </w:rPr>
              <w:t>It is not necessary to have the same number of SRS resource sets and resources in each carrier</w:t>
            </w:r>
          </w:p>
          <w:p>
            <w:pPr>
              <w:pStyle w:val="134"/>
              <w:numPr>
                <w:ilvl w:val="0"/>
                <w:numId w:val="12"/>
              </w:numPr>
              <w:snapToGrid w:val="0"/>
              <w:spacing w:before="180" w:beforeLines="50" w:after="180" w:afterLines="50"/>
              <w:rPr>
                <w:sz w:val="20"/>
                <w:szCs w:val="20"/>
              </w:rPr>
            </w:pPr>
            <w:r>
              <w:rPr>
                <w:rFonts w:hint="eastAsia"/>
                <w:sz w:val="20"/>
                <w:szCs w:val="20"/>
              </w:rPr>
              <w:t>It is not necessary to have the same antenna port</w:t>
            </w:r>
          </w:p>
          <w:p>
            <w:pPr>
              <w:pStyle w:val="134"/>
              <w:numPr>
                <w:ilvl w:val="0"/>
                <w:numId w:val="12"/>
              </w:numPr>
              <w:snapToGrid w:val="0"/>
              <w:spacing w:before="180" w:beforeLines="50" w:after="180" w:afterLines="50"/>
              <w:rPr>
                <w:sz w:val="20"/>
                <w:szCs w:val="20"/>
              </w:rPr>
            </w:pPr>
            <w:r>
              <w:rPr>
                <w:rFonts w:hint="eastAsia"/>
                <w:sz w:val="20"/>
                <w:szCs w:val="20"/>
              </w:rPr>
              <w:t xml:space="preserve">In RAN1, we can signal the TEG ID for each of the aggregated PFLs or assign a single TEG ID for the aggregated SRSs. </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hint="eastAsia" w:eastAsia="宋体"/>
                <w:sz w:val="20"/>
                <w:szCs w:val="20"/>
              </w:rPr>
              <w:t>Ericsson</w:t>
            </w:r>
          </w:p>
        </w:tc>
        <w:tc>
          <w:tcPr>
            <w:tcW w:w="8228" w:type="dxa"/>
            <w:tcBorders>
              <w:top w:val="single" w:color="auto" w:sz="4" w:space="0"/>
              <w:left w:val="single" w:color="auto" w:sz="4" w:space="0"/>
              <w:bottom w:val="single" w:color="auto" w:sz="4" w:space="0"/>
              <w:right w:val="single" w:color="auto" w:sz="4" w:space="0"/>
            </w:tcBorders>
          </w:tcPr>
          <w:p>
            <w:pPr>
              <w:pStyle w:val="152"/>
              <w:snapToGrid w:val="0"/>
              <w:spacing w:before="180" w:beforeLines="50" w:after="180" w:afterLines="50"/>
              <w:ind w:left="1304"/>
              <w:rPr>
                <w:rFonts w:ascii="Times New Roman" w:hAnsi="Times New Roman" w:eastAsia="宋体" w:cs="Times New Roman"/>
                <w:b w:val="0"/>
                <w:bCs w:val="0"/>
                <w:sz w:val="20"/>
                <w:szCs w:val="20"/>
              </w:rPr>
            </w:pPr>
            <w:bookmarkStart w:id="21" w:name="_Toc142658035"/>
            <w:r>
              <w:rPr>
                <w:rFonts w:hint="eastAsia" w:ascii="Times New Roman" w:hAnsi="Times New Roman" w:eastAsia="宋体" w:cs="Times New Roman"/>
                <w:b w:val="0"/>
                <w:bCs w:val="0"/>
                <w:sz w:val="20"/>
                <w:szCs w:val="20"/>
              </w:rPr>
              <w:t>Proposal 1</w:t>
            </w:r>
          </w:p>
          <w:p>
            <w:pPr>
              <w:pStyle w:val="152"/>
              <w:snapToGrid w:val="0"/>
              <w:spacing w:before="180" w:beforeLines="50" w:after="180" w:afterLines="50"/>
              <w:ind w:left="1304"/>
              <w:rPr>
                <w:rFonts w:ascii="Times New Roman" w:hAnsi="Times New Roman" w:cs="Times New Roman"/>
                <w:b w:val="0"/>
                <w:bCs w:val="0"/>
                <w:sz w:val="20"/>
                <w:szCs w:val="20"/>
              </w:rPr>
            </w:pPr>
            <w:bookmarkStart w:id="22" w:name="_Toc142658034"/>
            <w:r>
              <w:rPr>
                <w:rFonts w:hint="eastAsia" w:ascii="Times New Roman" w:hAnsi="Times New Roman" w:cs="Times New Roman"/>
                <w:b w:val="0"/>
                <w:bCs w:val="0"/>
                <w:sz w:val="20"/>
                <w:szCs w:val="20"/>
              </w:rPr>
              <w:t>The gNB can indicate to LMF one TRP Tx TEG ID for the PRS in just one of the two or three PFLs that can be aggregated. It is understood that the same Tx TEG ID applies to all aggregated PFLs.</w:t>
            </w:r>
            <w:bookmarkEnd w:id="22"/>
          </w:p>
          <w:p>
            <w:pPr>
              <w:pStyle w:val="152"/>
              <w:snapToGrid w:val="0"/>
              <w:spacing w:before="180" w:beforeLines="50" w:after="180" w:afterLines="50"/>
              <w:ind w:left="1304"/>
              <w:rPr>
                <w:rFonts w:ascii="Times New Roman" w:hAnsi="Times New Roman" w:eastAsia="宋体" w:cs="Times New Roman"/>
                <w:b w:val="0"/>
                <w:bCs w:val="0"/>
                <w:sz w:val="20"/>
                <w:szCs w:val="20"/>
              </w:rPr>
            </w:pPr>
          </w:p>
          <w:p>
            <w:pPr>
              <w:pStyle w:val="152"/>
              <w:snapToGrid w:val="0"/>
              <w:spacing w:before="180" w:beforeLines="50" w:after="180" w:afterLines="50"/>
              <w:ind w:left="1304"/>
              <w:rPr>
                <w:rFonts w:ascii="Times New Roman" w:hAnsi="Times New Roman" w:eastAsia="宋体" w:cs="Times New Roman"/>
                <w:b w:val="0"/>
                <w:bCs w:val="0"/>
                <w:sz w:val="20"/>
                <w:szCs w:val="20"/>
              </w:rPr>
            </w:pPr>
            <w:r>
              <w:rPr>
                <w:rFonts w:hint="eastAsia" w:ascii="Times New Roman" w:hAnsi="Times New Roman" w:eastAsia="宋体" w:cs="Times New Roman"/>
                <w:b w:val="0"/>
                <w:bCs w:val="0"/>
                <w:sz w:val="20"/>
                <w:szCs w:val="20"/>
              </w:rPr>
              <w:t>Proposal 2</w:t>
            </w:r>
          </w:p>
          <w:p>
            <w:pPr>
              <w:pStyle w:val="152"/>
              <w:snapToGrid w:val="0"/>
              <w:spacing w:before="180" w:beforeLines="50" w:after="180" w:afterLines="50"/>
              <w:ind w:left="1304"/>
              <w:rPr>
                <w:rFonts w:ascii="Times New Roman" w:hAnsi="Times New Roman" w:eastAsia="宋体" w:cs="Times New Roman"/>
                <w:b w:val="0"/>
                <w:bCs w:val="0"/>
                <w:sz w:val="20"/>
                <w:szCs w:val="20"/>
              </w:rPr>
            </w:pPr>
            <w:r>
              <w:rPr>
                <w:rFonts w:hint="eastAsia" w:ascii="Times New Roman" w:hAnsi="Times New Roman" w:cs="Times New Roman"/>
                <w:b w:val="0"/>
                <w:bCs w:val="0"/>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bookmarkEnd w:id="21"/>
          </w:p>
          <w:p>
            <w:pPr>
              <w:snapToGrid w:val="0"/>
              <w:spacing w:before="180" w:beforeLines="50" w:after="180" w:afterLines="50"/>
              <w:rPr>
                <w:rFonts w:eastAsia="宋体"/>
                <w:sz w:val="20"/>
                <w:szCs w:val="20"/>
              </w:rPr>
            </w:pPr>
            <w:r>
              <w:rPr>
                <w:rFonts w:hint="eastAsia" w:eastAsia="宋体"/>
                <w:sz w:val="20"/>
                <w:szCs w:val="20"/>
              </w:rPr>
              <w:t>Proposal 7</w:t>
            </w:r>
          </w:p>
          <w:p>
            <w:pPr>
              <w:pStyle w:val="152"/>
              <w:snapToGrid w:val="0"/>
              <w:spacing w:before="180" w:beforeLines="50" w:after="180" w:afterLines="50"/>
              <w:ind w:left="1304"/>
              <w:rPr>
                <w:rFonts w:ascii="Times New Roman" w:hAnsi="Times New Roman" w:eastAsia="宋体" w:cs="Times New Roman"/>
                <w:b w:val="0"/>
                <w:bCs w:val="0"/>
                <w:sz w:val="20"/>
                <w:szCs w:val="20"/>
              </w:rPr>
            </w:pPr>
            <w:bookmarkStart w:id="23" w:name="_Toc142658044"/>
            <w:r>
              <w:rPr>
                <w:rFonts w:hint="eastAsia" w:ascii="Times New Roman" w:hAnsi="Times New Roman" w:cs="Times New Roman"/>
                <w:b w:val="0"/>
                <w:bCs w:val="0"/>
                <w:sz w:val="20"/>
                <w:szCs w:val="20"/>
              </w:rPr>
              <w:t>The UE can indicate to gNB one UE Tx TEG ID for the SRS in just one of the two or three carriers that can be aggregated. It is understood that the same Tx TEG ID applies to all aggregated carriers.</w:t>
            </w:r>
            <w:bookmarkEnd w:id="23"/>
          </w:p>
          <w:p>
            <w:pPr>
              <w:snapToGrid w:val="0"/>
              <w:spacing w:before="180" w:beforeLines="50" w:after="180" w:afterLines="50"/>
              <w:rPr>
                <w:rFonts w:eastAsia="宋体"/>
                <w:sz w:val="20"/>
                <w:szCs w:val="20"/>
              </w:rPr>
            </w:pPr>
            <w:r>
              <w:rPr>
                <w:rFonts w:hint="eastAsia" w:eastAsia="宋体"/>
                <w:sz w:val="20"/>
                <w:szCs w:val="20"/>
              </w:rPr>
              <w:t>Proposal 8:</w:t>
            </w:r>
          </w:p>
          <w:p>
            <w:pPr>
              <w:pStyle w:val="152"/>
              <w:snapToGrid w:val="0"/>
              <w:spacing w:before="180" w:beforeLines="50" w:after="180" w:afterLines="50"/>
              <w:ind w:left="1304"/>
              <w:rPr>
                <w:rFonts w:ascii="Times New Roman" w:hAnsi="Times New Roman" w:eastAsia="宋体" w:cs="Times New Roman"/>
                <w:b w:val="0"/>
                <w:bCs w:val="0"/>
                <w:sz w:val="20"/>
                <w:szCs w:val="20"/>
              </w:rPr>
            </w:pPr>
            <w:bookmarkStart w:id="24" w:name="_Toc142658045"/>
            <w:r>
              <w:rPr>
                <w:rFonts w:hint="eastAsia" w:ascii="Times New Roman" w:hAnsi="Times New Roman" w:cs="Times New Roman"/>
                <w:b w:val="0"/>
                <w:bCs w:val="0"/>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bookmarkEnd w:id="24"/>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hint="eastAsia" w:eastAsia="宋体"/>
                <w:sz w:val="20"/>
                <w:szCs w:val="20"/>
              </w:rPr>
              <w:t>Huawei</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rPr>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2</w:t>
            </w:r>
            <w:r>
              <w:rPr>
                <w:rFonts w:hint="eastAsia"/>
                <w:sz w:val="20"/>
                <w:szCs w:val="20"/>
              </w:rPr>
              <w:fldChar w:fldCharType="end"/>
            </w:r>
            <w:r>
              <w:rPr>
                <w:rFonts w:hint="eastAsia"/>
                <w:sz w:val="20"/>
                <w:szCs w:val="20"/>
              </w:rPr>
              <w:t>: There is no need to additionally discuss the TEG feature for aggregating carriers for positioning.</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sz w:val="20"/>
                <w:szCs w:val="20"/>
                <w:lang w:val="en-GB"/>
              </w:rPr>
            </w:pPr>
            <w:r>
              <w:rPr>
                <w:rFonts w:hint="eastAsia"/>
                <w:sz w:val="20"/>
                <w:szCs w:val="20"/>
                <w:lang w:val="en-GB"/>
              </w:rPr>
              <w:t>CATT</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jc w:val="both"/>
              <w:rPr>
                <w:sz w:val="20"/>
                <w:szCs w:val="20"/>
              </w:rPr>
            </w:pPr>
            <w:bookmarkStart w:id="25" w:name="P3"/>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MERGEFORMAT </w:instrText>
            </w:r>
            <w:r>
              <w:rPr>
                <w:rFonts w:hint="eastAsia"/>
                <w:sz w:val="20"/>
                <w:szCs w:val="20"/>
              </w:rPr>
              <w:fldChar w:fldCharType="separate"/>
            </w:r>
            <w:r>
              <w:rPr>
                <w:rFonts w:hint="eastAsia"/>
                <w:sz w:val="20"/>
                <w:szCs w:val="20"/>
              </w:rPr>
              <w:t>3</w:t>
            </w:r>
            <w:r>
              <w:rPr>
                <w:rFonts w:hint="eastAsia"/>
                <w:sz w:val="20"/>
                <w:szCs w:val="20"/>
              </w:rPr>
              <w:fldChar w:fldCharType="end"/>
            </w:r>
            <w:r>
              <w:rPr>
                <w:rFonts w:hint="eastAsia" w:eastAsiaTheme="minorEastAsia"/>
                <w:sz w:val="20"/>
                <w:szCs w:val="20"/>
              </w:rPr>
              <w:t>:</w:t>
            </w:r>
            <w:r>
              <w:rPr>
                <w:rFonts w:hint="eastAsia"/>
                <w:sz w:val="20"/>
                <w:szCs w:val="20"/>
              </w:rPr>
              <w:t xml:space="preserve"> </w:t>
            </w:r>
            <w:r>
              <w:rPr>
                <w:rFonts w:hint="eastAsia" w:eastAsia="宋体"/>
                <w:sz w:val="20"/>
                <w:szCs w:val="20"/>
              </w:rPr>
              <w:t xml:space="preserve">The existing configuration of the UE/TRP Tx/Rx TEGs </w:t>
            </w:r>
            <w:r>
              <w:rPr>
                <w:rFonts w:hint="eastAsia"/>
                <w:sz w:val="20"/>
                <w:szCs w:val="20"/>
              </w:rPr>
              <w:t xml:space="preserve">can be reused to provide the association of </w:t>
            </w:r>
            <w:r>
              <w:rPr>
                <w:rFonts w:hint="eastAsia" w:eastAsia="宋体"/>
                <w:sz w:val="20"/>
                <w:szCs w:val="20"/>
              </w:rPr>
              <w:t xml:space="preserve">between UE/TRP Tx/Rx TEG IDs with the </w:t>
            </w:r>
            <w:r>
              <w:rPr>
                <w:rFonts w:hint="eastAsia"/>
                <w:sz w:val="20"/>
                <w:szCs w:val="20"/>
              </w:rPr>
              <w:t xml:space="preserve">DL PRS/UL SRS resources. But, there is no need to report the </w:t>
            </w:r>
            <w:r>
              <w:rPr>
                <w:rFonts w:hint="eastAsia" w:eastAsia="宋体"/>
                <w:sz w:val="20"/>
                <w:szCs w:val="20"/>
              </w:rPr>
              <w:t xml:space="preserve">UE/TRP Tx/Rx TEG IDs with the </w:t>
            </w:r>
            <w:r>
              <w:rPr>
                <w:rFonts w:hint="eastAsia"/>
                <w:sz w:val="20"/>
                <w:szCs w:val="20"/>
              </w:rPr>
              <w:t xml:space="preserve">DL PRS/UL SRS resources for all DL PFLs/UL SRS carriers, since when </w:t>
            </w:r>
            <w:r>
              <w:rPr>
                <w:rFonts w:hint="eastAsia" w:eastAsia="宋体"/>
                <w:sz w:val="20"/>
                <w:szCs w:val="20"/>
              </w:rPr>
              <w:t>a TRP/UE Tx TEG ID is associated with a PRS/SRS resource of an aggregated PRS/SRS resource set, it implies that all of the PRS/SRS resource resources of linked PRS/SRS resource sets are associated with the same TRP/UE Tx TEG ID.</w:t>
            </w:r>
            <w:bookmarkEnd w:id="25"/>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hint="eastAsia" w:eastAsia="宋体"/>
                <w:sz w:val="20"/>
                <w:szCs w:val="20"/>
              </w:rPr>
              <w:t>CMCC</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jc w:val="both"/>
              <w:rPr>
                <w:sz w:val="20"/>
                <w:szCs w:val="20"/>
              </w:rPr>
            </w:pPr>
            <w:r>
              <w:rPr>
                <w:rFonts w:hint="eastAsia"/>
                <w:sz w:val="20"/>
                <w:szCs w:val="20"/>
              </w:rPr>
              <w:t>Proposal 2: No need to consider same gNB Tx TEG ID or UE Rx ID across PRS resources in two or three aggregated PFLs.</w:t>
            </w:r>
          </w:p>
          <w:p>
            <w:pPr>
              <w:snapToGrid w:val="0"/>
              <w:spacing w:before="180" w:beforeLines="50" w:after="180" w:afterLines="50"/>
              <w:jc w:val="both"/>
              <w:rPr>
                <w:sz w:val="20"/>
                <w:szCs w:val="20"/>
              </w:rPr>
            </w:pPr>
            <w:r>
              <w:rPr>
                <w:rFonts w:hint="eastAsia"/>
                <w:sz w:val="20"/>
                <w:szCs w:val="20"/>
              </w:rPr>
              <w:t xml:space="preserve">Proposal 6: No need to consider same UE Tx TEG ID or gNB Rx ID </w:t>
            </w:r>
            <w:bookmarkStart w:id="26" w:name="OLE_LINK11"/>
            <w:r>
              <w:rPr>
                <w:rFonts w:hint="eastAsia"/>
                <w:sz w:val="20"/>
                <w:szCs w:val="20"/>
              </w:rPr>
              <w:t>across PRS resources in two or three aggregated PFLs</w:t>
            </w:r>
            <w:bookmarkEnd w:id="26"/>
            <w:r>
              <w:rPr>
                <w:rFonts w:hint="eastAsia"/>
                <w:sz w:val="20"/>
                <w:szCs w:val="20"/>
              </w:rPr>
              <w:t>.</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hint="eastAsia" w:eastAsia="宋体"/>
                <w:sz w:val="20"/>
                <w:szCs w:val="20"/>
              </w:rPr>
              <w:t>Samsung</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ind w:firstLine="231"/>
              <w:rPr>
                <w:sz w:val="20"/>
                <w:szCs w:val="20"/>
              </w:rPr>
            </w:pPr>
            <w:r>
              <w:rPr>
                <w:rFonts w:hint="eastAsia"/>
                <w:sz w:val="20"/>
                <w:szCs w:val="20"/>
                <w:lang w:eastAsia="ja-JP"/>
              </w:rPr>
              <w:t>Proposal 1: Single Tx TEG ID or Rx TEG ID is applied across PRSs/SRSs in aggregated PFLs/carriers for TEG information reporting.</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hint="eastAsia" w:eastAsia="宋体"/>
                <w:sz w:val="20"/>
                <w:szCs w:val="20"/>
              </w:rPr>
              <w:t>DOCOMO</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rPr>
                <w:sz w:val="20"/>
                <w:szCs w:val="20"/>
              </w:rPr>
            </w:pPr>
            <w:r>
              <w:rPr>
                <w:rFonts w:hint="eastAsia"/>
                <w:sz w:val="20"/>
                <w:szCs w:val="20"/>
              </w:rPr>
              <w:t xml:space="preserve">Proposal 1: </w:t>
            </w:r>
          </w:p>
          <w:p>
            <w:pPr>
              <w:pStyle w:val="139"/>
              <w:numPr>
                <w:ilvl w:val="0"/>
                <w:numId w:val="23"/>
              </w:numPr>
              <w:snapToGrid w:val="0"/>
              <w:spacing w:before="180" w:beforeLines="50" w:afterLines="50"/>
              <w:rPr>
                <w:sz w:val="20"/>
              </w:rPr>
            </w:pPr>
            <w:r>
              <w:rPr>
                <w:rFonts w:hint="eastAsia"/>
                <w:sz w:val="20"/>
              </w:rPr>
              <w:t>RAN1 should discuss Tx condition for bandwidth aggregation prior to TEG association.</w:t>
            </w:r>
          </w:p>
          <w:p>
            <w:pPr>
              <w:pStyle w:val="139"/>
              <w:numPr>
                <w:ilvl w:val="0"/>
                <w:numId w:val="23"/>
              </w:numPr>
              <w:snapToGrid w:val="0"/>
              <w:spacing w:before="180" w:beforeLines="50" w:afterLines="50"/>
              <w:rPr>
                <w:sz w:val="20"/>
              </w:rPr>
            </w:pPr>
            <w:r>
              <w:rPr>
                <w:rFonts w:hint="eastAsia"/>
                <w:sz w:val="20"/>
              </w:rPr>
              <w:t>If the condition with the same antenna port is required for PRS/SRS bandwidth aggregation, the single Tx TEG ID should be applied across PRSs in aggregated PFLs.</w:t>
            </w:r>
          </w:p>
          <w:p>
            <w:pPr>
              <w:pStyle w:val="139"/>
              <w:numPr>
                <w:ilvl w:val="1"/>
                <w:numId w:val="23"/>
              </w:numPr>
              <w:snapToGrid w:val="0"/>
              <w:spacing w:before="180" w:beforeLines="50" w:afterLines="50"/>
              <w:rPr>
                <w:sz w:val="20"/>
              </w:rPr>
            </w:pPr>
            <w:r>
              <w:rPr>
                <w:rFonts w:hint="eastAsia"/>
                <w:sz w:val="20"/>
              </w:rPr>
              <w:t>For PRS bandwidth aggregation between PRS in two or three different PFLs, TRP Tx TEG ID is reported for one of the aggregated PRSs and the TRP Tx TEG IDs are not reported for the other aggregated PRSs.</w:t>
            </w:r>
          </w:p>
          <w:p>
            <w:pPr>
              <w:pStyle w:val="139"/>
              <w:numPr>
                <w:ilvl w:val="1"/>
                <w:numId w:val="23"/>
              </w:numPr>
              <w:snapToGrid w:val="0"/>
              <w:spacing w:before="180" w:beforeLines="50" w:afterLines="50"/>
              <w:rPr>
                <w:sz w:val="20"/>
              </w:rPr>
            </w:pPr>
            <w:r>
              <w:rPr>
                <w:rFonts w:hint="eastAsia"/>
                <w:sz w:val="20"/>
              </w:rPr>
              <w:t>For SRS bandwidth aggregation between SRS in two or three different PFLs, UE Tx TEG ID is reported for one of the aggregated SRSs and the UE Tx TEG IDs are not reported for the other aggregated SRSs.</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hint="eastAsia"/>
                <w:sz w:val="20"/>
                <w:szCs w:val="20"/>
              </w:rPr>
              <w:t>InterDigital</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rPr>
                <w:sz w:val="20"/>
                <w:szCs w:val="20"/>
              </w:rPr>
            </w:pPr>
            <w:r>
              <w:rPr>
                <w:rFonts w:hint="eastAsia"/>
                <w:sz w:val="20"/>
                <w:szCs w:val="20"/>
                <w:lang w:val="en-GB"/>
              </w:rPr>
              <w:t xml:space="preserve">Proposal 1: For </w:t>
            </w:r>
            <w:r>
              <w:rPr>
                <w:rFonts w:hint="eastAsia" w:eastAsia="宋体"/>
                <w:sz w:val="20"/>
                <w:szCs w:val="20"/>
              </w:rPr>
              <w:t xml:space="preserve">SRS </w:t>
            </w:r>
            <w:r>
              <w:rPr>
                <w:rFonts w:hint="eastAsia"/>
                <w:sz w:val="20"/>
                <w:szCs w:val="20"/>
              </w:rPr>
              <w:t xml:space="preserve">bandwidth aggregation, aggregated </w:t>
            </w:r>
            <w:r>
              <w:rPr>
                <w:rFonts w:hint="eastAsia" w:eastAsia="宋体"/>
                <w:sz w:val="20"/>
                <w:szCs w:val="20"/>
              </w:rPr>
              <w:t xml:space="preserve">SRS </w:t>
            </w:r>
            <w:r>
              <w:rPr>
                <w:rFonts w:hint="eastAsia"/>
                <w:sz w:val="20"/>
                <w:szCs w:val="20"/>
              </w:rPr>
              <w:t xml:space="preserve">resources from a TRP </w:t>
            </w:r>
            <w:r>
              <w:rPr>
                <w:rFonts w:hint="eastAsia" w:eastAsia="宋体"/>
                <w:sz w:val="20"/>
                <w:szCs w:val="20"/>
              </w:rPr>
              <w:t>across the aggregated carriers</w:t>
            </w:r>
            <w:r>
              <w:rPr>
                <w:rFonts w:hint="eastAsia"/>
                <w:sz w:val="20"/>
                <w:szCs w:val="20"/>
              </w:rPr>
              <w:t xml:space="preserve"> should have the same UE Tx TEG and the same TRP Rx TEG.</w:t>
            </w:r>
          </w:p>
          <w:p>
            <w:pPr>
              <w:snapToGrid w:val="0"/>
              <w:spacing w:before="180" w:beforeLines="50" w:after="180" w:afterLines="50"/>
              <w:rPr>
                <w:sz w:val="20"/>
                <w:szCs w:val="20"/>
              </w:rPr>
            </w:pPr>
            <w:r>
              <w:rPr>
                <w:rFonts w:hint="eastAsia"/>
                <w:sz w:val="20"/>
                <w:szCs w:val="20"/>
                <w:lang w:val="en-GB"/>
              </w:rPr>
              <w:t xml:space="preserve">Proposal 2: For </w:t>
            </w:r>
            <w:r>
              <w:rPr>
                <w:rFonts w:hint="eastAsia"/>
                <w:sz w:val="20"/>
                <w:szCs w:val="20"/>
              </w:rPr>
              <w:t>PRS bandwidth aggregation, aggregated PRS resources from a TRP across the aggregated PFLs should have the same TRP Tx TEG and the same UE Rx TEG.</w:t>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4"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hint="eastAsia" w:eastAsia="宋体"/>
                <w:sz w:val="20"/>
                <w:szCs w:val="20"/>
              </w:rPr>
              <w:t>MTK</w:t>
            </w:r>
          </w:p>
        </w:tc>
        <w:tc>
          <w:tcPr>
            <w:tcW w:w="8228"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hint="eastAsia" w:eastAsia="宋体"/>
                <w:sz w:val="20"/>
                <w:szCs w:val="20"/>
              </w:rPr>
              <w:t>Proposal 4-1: The linked PRS resources may share the same TEG ID for reporting</w:t>
            </w:r>
          </w:p>
        </w:tc>
      </w:tr>
    </w:tbl>
    <w:p>
      <w:pPr>
        <w:snapToGrid w:val="0"/>
      </w:pPr>
    </w:p>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widowControl w:val="0"/>
              <w:rPr>
                <w:b/>
                <w:sz w:val="20"/>
                <w:szCs w:val="20"/>
                <w:u w:val="single"/>
              </w:rPr>
            </w:pPr>
            <w:r>
              <w:rPr>
                <w:rFonts w:hint="eastAsia"/>
                <w:b/>
                <w:sz w:val="20"/>
                <w:szCs w:val="20"/>
                <w:u w:val="single"/>
              </w:rPr>
              <w:t xml:space="preserve">Agreement </w:t>
            </w:r>
            <w:r>
              <w:rPr>
                <w:rFonts w:hint="eastAsia" w:eastAsia="宋体"/>
                <w:b/>
                <w:bCs/>
                <w:sz w:val="20"/>
                <w:szCs w:val="20"/>
                <w:u w:val="single"/>
              </w:rPr>
              <w:t>in RAN1#112bis-e</w:t>
            </w:r>
          </w:p>
          <w:p>
            <w:pPr>
              <w:widowControl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widowControl w:val="0"/>
              <w:rPr>
                <w:b/>
                <w:bCs/>
                <w:sz w:val="20"/>
                <w:szCs w:val="20"/>
                <w:u w:val="single"/>
              </w:rPr>
            </w:pPr>
            <w:r>
              <w:rPr>
                <w:rFonts w:hint="eastAsia"/>
                <w:b/>
                <w:bCs/>
                <w:sz w:val="20"/>
                <w:szCs w:val="20"/>
                <w:u w:val="single"/>
              </w:rPr>
              <w:t xml:space="preserve">Agreement </w:t>
            </w:r>
            <w:r>
              <w:rPr>
                <w:rFonts w:hint="eastAsia" w:eastAsia="宋体"/>
                <w:b/>
                <w:bCs/>
                <w:sz w:val="20"/>
                <w:szCs w:val="20"/>
                <w:u w:val="single"/>
              </w:rPr>
              <w:t>in RAN1#112bis-e</w:t>
            </w:r>
          </w:p>
          <w:p>
            <w:pPr>
              <w:snapToGrid w:val="0"/>
              <w:rPr>
                <w:bCs/>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39"/>
        <w:snapToGrid w:val="0"/>
        <w:spacing w:before="120" w:after="120"/>
        <w:ind w:left="0"/>
        <w:jc w:val="both"/>
        <w:rPr>
          <w:rFonts w:ascii="Times" w:hAnsi="Times" w:cs="Times"/>
          <w:bCs/>
          <w:sz w:val="20"/>
          <w:lang w:eastAsia="zh-CN"/>
        </w:rPr>
      </w:pPr>
      <w:r>
        <w:rPr>
          <w:rFonts w:ascii="Times" w:hAnsi="Times" w:cs="Times"/>
          <w:bCs/>
          <w:sz w:val="20"/>
          <w:lang w:eastAsia="zh-CN"/>
        </w:rPr>
        <w:t>Huawei</w:t>
      </w:r>
      <w:r>
        <w:rPr>
          <w:rFonts w:hint="eastAsia" w:ascii="Times" w:hAnsi="Times" w:cs="Times"/>
          <w:bCs/>
          <w:sz w:val="20"/>
          <w:lang w:eastAsia="zh-CN"/>
        </w:rPr>
        <w:t xml:space="preserve"> and CMCC</w:t>
      </w:r>
      <w:r>
        <w:rPr>
          <w:rFonts w:ascii="Times" w:hAnsi="Times" w:cs="Times"/>
          <w:bCs/>
          <w:sz w:val="20"/>
          <w:lang w:eastAsia="zh-CN"/>
        </w:rPr>
        <w:t xml:space="preserve"> mentioned RAN4 RF already agreed that no TAE requirement will be defined for single RF chain architecture</w:t>
      </w:r>
      <w:r>
        <w:rPr>
          <w:rFonts w:ascii="Times" w:hAnsi="Times" w:cs="Times"/>
          <w:bCs/>
          <w:sz w:val="20"/>
          <w:lang w:eastAsia="zh-CN"/>
        </w:rPr>
        <w:fldChar w:fldCharType="begin"/>
      </w:r>
      <w:r>
        <w:rPr>
          <w:rFonts w:ascii="Times" w:hAnsi="Times" w:cs="Times"/>
          <w:bCs/>
          <w:sz w:val="20"/>
          <w:lang w:eastAsia="zh-CN"/>
        </w:rPr>
        <w:instrText xml:space="preserve"> REF _Ref131525133 \r \h  \* MERGEFORMAT </w:instrText>
      </w:r>
      <w:r>
        <w:rPr>
          <w:rFonts w:ascii="Times" w:hAnsi="Times" w:cs="Times"/>
          <w:bCs/>
          <w:sz w:val="20"/>
          <w:lang w:eastAsia="zh-CN"/>
        </w:rPr>
        <w:fldChar w:fldCharType="end"/>
      </w:r>
      <w:r>
        <w:rPr>
          <w:rFonts w:ascii="Times" w:hAnsi="Times" w:cs="Times"/>
          <w:bCs/>
          <w:sz w:val="20"/>
          <w:lang w:eastAsia="zh-CN"/>
        </w:rPr>
        <w:t xml:space="preserve">. Therefore, the TEG reporting feature should not be coupled with PRS BW aggregation. </w:t>
      </w:r>
    </w:p>
    <w:p>
      <w:pPr>
        <w:pStyle w:val="139"/>
        <w:snapToGrid w:val="0"/>
        <w:spacing w:before="120" w:after="120"/>
        <w:ind w:left="0"/>
        <w:jc w:val="both"/>
        <w:rPr>
          <w:rFonts w:ascii="Times" w:hAnsi="Times" w:cs="Times"/>
          <w:bCs/>
          <w:sz w:val="20"/>
          <w:lang w:eastAsia="zh-CN"/>
        </w:rPr>
      </w:pPr>
      <w:r>
        <w:rPr>
          <w:rFonts w:ascii="Times" w:hAnsi="Times" w:cs="Times"/>
          <w:bCs/>
          <w:sz w:val="20"/>
          <w:lang w:eastAsia="zh-CN"/>
        </w:rPr>
        <w:t xml:space="preserve">While </w:t>
      </w:r>
      <w:r>
        <w:rPr>
          <w:rFonts w:hint="eastAsia" w:ascii="Times" w:hAnsi="Times" w:cs="Times"/>
          <w:bCs/>
          <w:sz w:val="20"/>
          <w:lang w:eastAsia="zh-CN"/>
        </w:rPr>
        <w:t xml:space="preserve">some other </w:t>
      </w:r>
      <w:r>
        <w:rPr>
          <w:rFonts w:ascii="Times" w:hAnsi="Times" w:cs="Times"/>
          <w:bCs/>
          <w:sz w:val="20"/>
          <w:lang w:eastAsia="zh-CN"/>
        </w:rPr>
        <w:t xml:space="preserve">companies think single TEG ID should be used for Tx TEG association reporting, and for Rx TEG ID reporting in the measurement reporting. </w:t>
      </w:r>
    </w:p>
    <w:p>
      <w:pPr>
        <w:pStyle w:val="139"/>
        <w:snapToGrid w:val="0"/>
        <w:spacing w:before="120" w:after="120"/>
        <w:ind w:left="0"/>
        <w:jc w:val="both"/>
        <w:rPr>
          <w:sz w:val="20"/>
          <w:lang w:val="en-GB"/>
        </w:rPr>
      </w:pPr>
      <w:r>
        <w:rPr>
          <w:sz w:val="20"/>
          <w:lang w:val="en-GB"/>
        </w:rPr>
        <w:t xml:space="preserve">Qualcomm thinks the linked PRS/SRS resources can be on the same or different TxTEG. So no additional constraint is needed to be agreed with regards to the Rx TEG ID used for the aggregated measurement. Also, Qualcomm thinks it should be up to RAN4 to decide what if any should be the maximum Tx timing error margin for 2 PRS/SRS resources that are linked for aggregation. </w:t>
      </w:r>
    </w:p>
    <w:p>
      <w:pPr>
        <w:pStyle w:val="139"/>
        <w:snapToGrid w:val="0"/>
        <w:spacing w:before="120" w:after="120"/>
        <w:ind w:left="0"/>
        <w:jc w:val="both"/>
        <w:rPr>
          <w:sz w:val="20"/>
          <w:lang w:val="en-GB"/>
        </w:rPr>
      </w:pPr>
    </w:p>
    <w:p>
      <w:pPr>
        <w:pStyle w:val="139"/>
        <w:snapToGrid w:val="0"/>
        <w:spacing w:before="120" w:after="120"/>
        <w:ind w:left="0"/>
        <w:jc w:val="both"/>
        <w:rPr>
          <w:sz w:val="20"/>
          <w:lang w:eastAsia="zh-CN"/>
        </w:rPr>
      </w:pPr>
      <w:r>
        <w:rPr>
          <w:sz w:val="20"/>
          <w:lang w:val="en-GB"/>
        </w:rPr>
        <w:t>Companies’ preferences are listed below</w:t>
      </w:r>
      <w:r>
        <w:rPr>
          <w:rFonts w:hint="eastAsia"/>
          <w:sz w:val="20"/>
          <w:lang w:eastAsia="zh-CN"/>
        </w:rPr>
        <w:t xml:space="preserve"> </w:t>
      </w:r>
    </w:p>
    <w:p>
      <w:pPr>
        <w:pStyle w:val="139"/>
        <w:snapToGrid w:val="0"/>
        <w:spacing w:before="120" w:after="120"/>
        <w:ind w:left="0"/>
        <w:jc w:val="both"/>
        <w:rPr>
          <w:bCs/>
          <w:sz w:val="20"/>
          <w:lang w:eastAsia="zh-CN"/>
        </w:rPr>
      </w:pPr>
      <w:r>
        <w:rPr>
          <w:rFonts w:hint="eastAsia"/>
          <w:sz w:val="20"/>
          <w:lang w:eastAsia="zh-CN"/>
        </w:rPr>
        <w:t xml:space="preserve">For the condition of the same TEG: </w:t>
      </w:r>
    </w:p>
    <w:p>
      <w:pPr>
        <w:pStyle w:val="139"/>
        <w:numPr>
          <w:ilvl w:val="0"/>
          <w:numId w:val="18"/>
        </w:numPr>
        <w:snapToGrid w:val="0"/>
        <w:jc w:val="both"/>
        <w:rPr>
          <w:rFonts w:ascii="Times" w:hAnsi="Times" w:cs="Times"/>
          <w:sz w:val="20"/>
          <w:lang w:eastAsia="zh-CN"/>
        </w:rPr>
      </w:pPr>
      <w:bookmarkStart w:id="27" w:name="OLE_LINK34"/>
      <w:r>
        <w:rPr>
          <w:rFonts w:hint="eastAsia" w:ascii="Times" w:hAnsi="Times" w:cs="Times"/>
          <w:sz w:val="20"/>
          <w:lang w:eastAsia="zh-CN"/>
        </w:rPr>
        <w:t xml:space="preserve">Alt. 1: </w:t>
      </w:r>
      <w:bookmarkEnd w:id="27"/>
      <w:r>
        <w:rPr>
          <w:rFonts w:hint="eastAsia" w:ascii="Times" w:hAnsi="Times" w:cs="Times"/>
          <w:sz w:val="20"/>
          <w:lang w:eastAsia="zh-CN"/>
        </w:rPr>
        <w:t>Singe TEG ID should be applied across PRS resources in two or three aggregated PFLs</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Ericsson, vivo, Samsung, MTK, CATT, DOCOMO, InterDigital</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 xml:space="preserve">Alt. 2: Different TEGs can be applied for the aggregated PRS resources: </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Qualcomm</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Alt. 3: No need to consider the same TEG</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Huawei, CMCC</w:t>
      </w:r>
    </w:p>
    <w:p>
      <w:pPr>
        <w:snapToGrid w:val="0"/>
        <w:jc w:val="both"/>
        <w:rPr>
          <w:rFonts w:ascii="Times" w:hAnsi="Times" w:eastAsia="宋体" w:cs="Times"/>
          <w:sz w:val="20"/>
          <w:szCs w:val="20"/>
        </w:rPr>
      </w:pPr>
    </w:p>
    <w:p>
      <w:pPr>
        <w:snapToGrid w:val="0"/>
        <w:jc w:val="both"/>
        <w:rPr>
          <w:rFonts w:ascii="Times" w:hAnsi="Times" w:eastAsia="宋体" w:cs="Times"/>
          <w:sz w:val="20"/>
          <w:szCs w:val="20"/>
        </w:rPr>
      </w:pPr>
      <w:r>
        <w:rPr>
          <w:rFonts w:hint="eastAsia" w:ascii="Times" w:hAnsi="Times" w:eastAsia="宋体" w:cs="Times"/>
          <w:sz w:val="20"/>
          <w:szCs w:val="20"/>
        </w:rPr>
        <w:t>From signaling perspective, the Rx TEG ID reporting and the Tx TEG ID reporting may need to discuss separately (it is noted that the current Rel-17 spec supports separate Tx TEG association reporting for PRS/SRS in different PFLs/carriers although the TEG related UE capability is reported per band)</w:t>
      </w:r>
    </w:p>
    <w:p>
      <w:pPr>
        <w:snapToGrid w:val="0"/>
        <w:jc w:val="both"/>
        <w:rPr>
          <w:rFonts w:ascii="Times" w:hAnsi="Times" w:cs="Times"/>
          <w:bCs/>
          <w:sz w:val="20"/>
        </w:rPr>
      </w:pPr>
      <w:bookmarkStart w:id="28" w:name="OLE_LINK12"/>
      <w:r>
        <w:rPr>
          <w:rFonts w:ascii="Times" w:hAnsi="Times" w:eastAsia="宋体" w:cs="Times"/>
          <w:sz w:val="20"/>
          <w:szCs w:val="20"/>
        </w:rPr>
        <w:t xml:space="preserve">For </w:t>
      </w:r>
      <w:r>
        <w:rPr>
          <w:rFonts w:ascii="Times" w:hAnsi="Times" w:cs="Times"/>
          <w:bCs/>
          <w:sz w:val="20"/>
        </w:rPr>
        <w:t>Tx TEG association reporting</w:t>
      </w:r>
    </w:p>
    <w:p>
      <w:pPr>
        <w:pStyle w:val="139"/>
        <w:numPr>
          <w:ilvl w:val="0"/>
          <w:numId w:val="24"/>
        </w:numPr>
        <w:snapToGrid w:val="0"/>
        <w:jc w:val="both"/>
        <w:rPr>
          <w:rFonts w:ascii="Times" w:hAnsi="Times" w:cs="Times"/>
          <w:sz w:val="20"/>
        </w:rPr>
      </w:pPr>
      <w:r>
        <w:rPr>
          <w:rFonts w:ascii="Times" w:hAnsi="Times" w:cs="Times"/>
          <w:sz w:val="20"/>
        </w:rPr>
        <w:t>Alt.1: The reported Tx TEG ID can be same or different for the aggregated PRS (SRS) resources</w:t>
      </w:r>
      <w:r>
        <w:rPr>
          <w:rFonts w:hint="eastAsia" w:ascii="Times" w:hAnsi="Times" w:cs="Times"/>
          <w:sz w:val="20"/>
          <w:lang w:eastAsia="zh-CN"/>
        </w:rPr>
        <w:t>, i.e. n</w:t>
      </w:r>
      <w:r>
        <w:rPr>
          <w:rFonts w:ascii="Times" w:hAnsi="Times" w:cs="Times"/>
          <w:sz w:val="20"/>
        </w:rPr>
        <w:t>o additional constraint is needed in the current spec</w:t>
      </w:r>
    </w:p>
    <w:p>
      <w:pPr>
        <w:pStyle w:val="139"/>
        <w:numPr>
          <w:ilvl w:val="1"/>
          <w:numId w:val="24"/>
        </w:numPr>
        <w:snapToGrid w:val="0"/>
        <w:jc w:val="both"/>
        <w:rPr>
          <w:rFonts w:ascii="Times" w:hAnsi="Times" w:cs="Times"/>
          <w:sz w:val="20"/>
        </w:rPr>
      </w:pPr>
      <w:r>
        <w:rPr>
          <w:rFonts w:hint="eastAsia" w:ascii="Times" w:hAnsi="Times" w:cs="Times"/>
          <w:sz w:val="20"/>
          <w:lang w:eastAsia="zh-CN"/>
        </w:rPr>
        <w:t>Qualcomm</w:t>
      </w:r>
    </w:p>
    <w:p>
      <w:pPr>
        <w:pStyle w:val="139"/>
        <w:numPr>
          <w:ilvl w:val="0"/>
          <w:numId w:val="24"/>
        </w:numPr>
        <w:snapToGrid w:val="0"/>
        <w:jc w:val="both"/>
        <w:rPr>
          <w:rFonts w:ascii="Times" w:hAnsi="Times" w:cs="Times"/>
          <w:sz w:val="20"/>
        </w:rPr>
      </w:pPr>
      <w:r>
        <w:rPr>
          <w:rFonts w:ascii="Times" w:hAnsi="Times" w:cs="Times"/>
          <w:sz w:val="20"/>
        </w:rPr>
        <w:t>Alt.2: The reported Tx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39"/>
        <w:numPr>
          <w:ilvl w:val="1"/>
          <w:numId w:val="24"/>
        </w:numPr>
        <w:snapToGrid w:val="0"/>
        <w:jc w:val="both"/>
        <w:rPr>
          <w:rFonts w:ascii="Times" w:hAnsi="Times" w:cs="Times"/>
          <w:sz w:val="20"/>
        </w:rPr>
      </w:pPr>
      <w:r>
        <w:rPr>
          <w:rFonts w:hint="eastAsia" w:ascii="Times" w:hAnsi="Times" w:cs="Times"/>
          <w:sz w:val="20"/>
          <w:lang w:eastAsia="zh-CN"/>
        </w:rPr>
        <w:t>[vivo ?]</w:t>
      </w:r>
    </w:p>
    <w:p>
      <w:pPr>
        <w:pStyle w:val="139"/>
        <w:numPr>
          <w:ilvl w:val="0"/>
          <w:numId w:val="24"/>
        </w:numPr>
        <w:snapToGrid w:val="0"/>
        <w:jc w:val="both"/>
        <w:rPr>
          <w:rFonts w:ascii="Times" w:hAnsi="Times" w:cs="Times"/>
          <w:sz w:val="20"/>
        </w:rPr>
      </w:pPr>
      <w:r>
        <w:rPr>
          <w:rFonts w:ascii="Times" w:hAnsi="Times" w:cs="Times"/>
          <w:sz w:val="20"/>
        </w:rPr>
        <w:t xml:space="preserve">Alt.3: The Tx TEG ID </w:t>
      </w:r>
      <w:r>
        <w:rPr>
          <w:rFonts w:hint="eastAsia" w:ascii="Times" w:hAnsi="Times" w:cs="Times"/>
          <w:sz w:val="20"/>
          <w:lang w:eastAsia="zh-CN"/>
        </w:rPr>
        <w:t>i</w:t>
      </w:r>
      <w:r>
        <w:rPr>
          <w:rFonts w:ascii="Times" w:hAnsi="Times" w:cs="Times"/>
          <w:sz w:val="20"/>
          <w:lang w:eastAsia="zh-CN"/>
        </w:rPr>
        <w:t xml:space="preserve">s reported </w:t>
      </w:r>
      <w:r>
        <w:rPr>
          <w:rFonts w:ascii="Times" w:hAnsi="Times" w:cs="Times"/>
          <w:sz w:val="20"/>
        </w:rPr>
        <w:t xml:space="preserve">for one of aggregated resources and applicable for other aggregated resources. </w:t>
      </w:r>
    </w:p>
    <w:p>
      <w:pPr>
        <w:pStyle w:val="139"/>
        <w:numPr>
          <w:ilvl w:val="1"/>
          <w:numId w:val="24"/>
        </w:numPr>
        <w:snapToGrid w:val="0"/>
        <w:jc w:val="both"/>
        <w:rPr>
          <w:rFonts w:ascii="Times" w:hAnsi="Times" w:cs="Times"/>
          <w:sz w:val="20"/>
        </w:rPr>
      </w:pPr>
      <w:r>
        <w:rPr>
          <w:rFonts w:hint="eastAsia" w:ascii="Times" w:hAnsi="Times" w:cs="Times"/>
          <w:sz w:val="20"/>
          <w:lang w:eastAsia="zh-CN"/>
        </w:rPr>
        <w:t>Ericsson, CATT, DOCOMO, [Samsung?]</w:t>
      </w:r>
    </w:p>
    <w:p>
      <w:pPr>
        <w:pStyle w:val="139"/>
        <w:numPr>
          <w:ilvl w:val="0"/>
          <w:numId w:val="24"/>
        </w:numPr>
        <w:snapToGrid w:val="0"/>
        <w:jc w:val="both"/>
        <w:rPr>
          <w:rFonts w:ascii="Times" w:hAnsi="Times" w:cs="Times"/>
          <w:sz w:val="20"/>
        </w:rPr>
      </w:pPr>
      <w:r>
        <w:rPr>
          <w:rFonts w:hint="eastAsia" w:ascii="Times" w:hAnsi="Times" w:cs="Times"/>
          <w:sz w:val="20"/>
          <w:lang w:eastAsia="zh-CN"/>
        </w:rPr>
        <w:t>Alt.4: No need to further discuss</w:t>
      </w:r>
    </w:p>
    <w:p>
      <w:pPr>
        <w:pStyle w:val="139"/>
        <w:numPr>
          <w:ilvl w:val="1"/>
          <w:numId w:val="24"/>
        </w:numPr>
        <w:snapToGrid w:val="0"/>
        <w:jc w:val="both"/>
        <w:rPr>
          <w:rFonts w:ascii="Times" w:hAnsi="Times" w:cs="Times"/>
          <w:sz w:val="20"/>
          <w:lang w:eastAsia="zh-CN"/>
        </w:rPr>
      </w:pPr>
      <w:r>
        <w:rPr>
          <w:rFonts w:hint="eastAsia" w:ascii="Times" w:hAnsi="Times" w:cs="Times"/>
          <w:sz w:val="20"/>
          <w:lang w:eastAsia="zh-CN"/>
        </w:rPr>
        <w:t>Huawei, CMCC</w:t>
      </w:r>
    </w:p>
    <w:p>
      <w:pPr>
        <w:snapToGrid w:val="0"/>
        <w:jc w:val="both"/>
        <w:rPr>
          <w:rFonts w:ascii="Times" w:hAnsi="Times" w:eastAsia="宋体" w:cs="Times"/>
          <w:sz w:val="20"/>
          <w:szCs w:val="20"/>
        </w:rPr>
      </w:pPr>
      <w:r>
        <w:rPr>
          <w:rFonts w:ascii="Times" w:hAnsi="Times" w:eastAsia="宋体" w:cs="Times"/>
          <w:sz w:val="20"/>
          <w:szCs w:val="20"/>
        </w:rPr>
        <w:t>For Rx TEG ID reporting in the measurement report</w:t>
      </w:r>
    </w:p>
    <w:p>
      <w:pPr>
        <w:pStyle w:val="139"/>
        <w:numPr>
          <w:ilvl w:val="0"/>
          <w:numId w:val="25"/>
        </w:numPr>
        <w:snapToGrid w:val="0"/>
        <w:jc w:val="both"/>
        <w:rPr>
          <w:rFonts w:ascii="Times" w:hAnsi="Times" w:cs="Times"/>
          <w:sz w:val="20"/>
        </w:rPr>
      </w:pPr>
      <w:r>
        <w:rPr>
          <w:rFonts w:ascii="Times" w:hAnsi="Times" w:cs="Times"/>
          <w:sz w:val="20"/>
        </w:rPr>
        <w:t xml:space="preserve">Alt.1: </w:t>
      </w:r>
      <w:r>
        <w:rPr>
          <w:rFonts w:hint="eastAsia" w:ascii="Times" w:hAnsi="Times" w:cs="Times"/>
          <w:sz w:val="20"/>
          <w:lang w:eastAsia="zh-CN"/>
        </w:rPr>
        <w:t>S</w:t>
      </w:r>
      <w:r>
        <w:rPr>
          <w:rFonts w:ascii="Times" w:hAnsi="Times" w:cs="Times"/>
          <w:sz w:val="20"/>
        </w:rPr>
        <w:t xml:space="preserve">ingle Rx TEG ID is reported for each </w:t>
      </w:r>
      <w:r>
        <w:rPr>
          <w:rFonts w:hint="eastAsia" w:ascii="Times" w:hAnsi="Times" w:cs="Times"/>
          <w:sz w:val="20"/>
          <w:lang w:eastAsia="zh-CN"/>
        </w:rPr>
        <w:t xml:space="preserve">measurement </w:t>
      </w:r>
      <w:r>
        <w:rPr>
          <w:rFonts w:ascii="Times" w:hAnsi="Times" w:cs="Times"/>
          <w:sz w:val="20"/>
        </w:rPr>
        <w:t>element as Rel-17.</w:t>
      </w:r>
    </w:p>
    <w:p>
      <w:pPr>
        <w:pStyle w:val="139"/>
        <w:numPr>
          <w:ilvl w:val="1"/>
          <w:numId w:val="25"/>
        </w:numPr>
        <w:snapToGrid w:val="0"/>
        <w:jc w:val="both"/>
        <w:rPr>
          <w:rFonts w:ascii="Times" w:hAnsi="Times" w:cs="Times"/>
          <w:sz w:val="20"/>
        </w:rPr>
      </w:pPr>
      <w:r>
        <w:rPr>
          <w:rFonts w:hint="eastAsia" w:ascii="Times" w:hAnsi="Times" w:cs="Times" w:eastAsiaTheme="minorEastAsia"/>
          <w:iCs/>
          <w:sz w:val="20"/>
          <w:lang w:eastAsia="zh-CN"/>
        </w:rPr>
        <w:t>Alt.1-1: the Rx TEG ID is reported for the aggregated measurement, i.e. for all the linked PRS/SRS resources</w:t>
      </w:r>
    </w:p>
    <w:p>
      <w:pPr>
        <w:pStyle w:val="139"/>
        <w:numPr>
          <w:ilvl w:val="2"/>
          <w:numId w:val="25"/>
        </w:numPr>
        <w:snapToGrid w:val="0"/>
        <w:jc w:val="both"/>
        <w:rPr>
          <w:rFonts w:ascii="Times" w:hAnsi="Times" w:cs="Times"/>
          <w:sz w:val="20"/>
        </w:rPr>
      </w:pPr>
      <w:r>
        <w:rPr>
          <w:rFonts w:hint="eastAsia" w:ascii="Times" w:hAnsi="Times" w:cs="Times" w:eastAsiaTheme="minorEastAsia"/>
          <w:iCs/>
          <w:sz w:val="20"/>
          <w:lang w:eastAsia="zh-CN"/>
        </w:rPr>
        <w:t>Ericsson, vivo, CATT, Samsung</w:t>
      </w:r>
    </w:p>
    <w:p>
      <w:pPr>
        <w:pStyle w:val="139"/>
        <w:numPr>
          <w:ilvl w:val="1"/>
          <w:numId w:val="25"/>
        </w:numPr>
        <w:snapToGrid w:val="0"/>
        <w:jc w:val="both"/>
        <w:rPr>
          <w:rFonts w:ascii="Times" w:hAnsi="Times" w:cs="Times"/>
          <w:sz w:val="20"/>
        </w:rPr>
      </w:pPr>
      <w:r>
        <w:rPr>
          <w:rFonts w:ascii="Times" w:hAnsi="Times" w:cs="Times"/>
          <w:sz w:val="20"/>
        </w:rPr>
        <w:t xml:space="preserve">Alt.1-2: </w:t>
      </w:r>
      <w:bookmarkStart w:id="29" w:name="OLE_LINK35"/>
      <w:r>
        <w:rPr>
          <w:rFonts w:ascii="Times" w:hAnsi="Times" w:cs="Times"/>
          <w:sz w:val="20"/>
        </w:rPr>
        <w:t>No additional constraint in the current spec</w:t>
      </w:r>
      <w:bookmarkEnd w:id="29"/>
    </w:p>
    <w:p>
      <w:pPr>
        <w:pStyle w:val="139"/>
        <w:numPr>
          <w:ilvl w:val="2"/>
          <w:numId w:val="25"/>
        </w:numPr>
        <w:snapToGrid w:val="0"/>
        <w:jc w:val="both"/>
        <w:rPr>
          <w:rFonts w:ascii="Times" w:hAnsi="Times" w:cs="Times"/>
          <w:sz w:val="20"/>
        </w:rPr>
      </w:pPr>
      <w:r>
        <w:rPr>
          <w:rFonts w:hint="eastAsia" w:ascii="Times" w:hAnsi="Times" w:cs="Times"/>
          <w:sz w:val="20"/>
          <w:lang w:eastAsia="zh-CN"/>
        </w:rPr>
        <w:t>[Qualcomm?]</w:t>
      </w:r>
    </w:p>
    <w:p>
      <w:pPr>
        <w:pStyle w:val="139"/>
        <w:numPr>
          <w:ilvl w:val="0"/>
          <w:numId w:val="25"/>
        </w:numPr>
        <w:snapToGrid w:val="0"/>
        <w:jc w:val="both"/>
        <w:rPr>
          <w:rFonts w:ascii="Times" w:hAnsi="Times" w:cs="Times"/>
          <w:sz w:val="20"/>
        </w:rPr>
      </w:pPr>
      <w:r>
        <w:rPr>
          <w:rFonts w:hint="eastAsia" w:ascii="Times" w:hAnsi="Times" w:cs="Times"/>
          <w:sz w:val="20"/>
          <w:lang w:eastAsia="zh-CN"/>
        </w:rPr>
        <w:t>Alt. 2: No need to further discuss</w:t>
      </w:r>
    </w:p>
    <w:p>
      <w:pPr>
        <w:pStyle w:val="139"/>
        <w:numPr>
          <w:ilvl w:val="1"/>
          <w:numId w:val="25"/>
        </w:numPr>
        <w:snapToGrid w:val="0"/>
        <w:jc w:val="both"/>
        <w:rPr>
          <w:rFonts w:ascii="Times" w:hAnsi="Times" w:cs="Times"/>
          <w:sz w:val="20"/>
        </w:rPr>
      </w:pPr>
      <w:r>
        <w:rPr>
          <w:rFonts w:hint="eastAsia" w:ascii="Times" w:hAnsi="Times" w:cs="Times"/>
          <w:sz w:val="20"/>
          <w:lang w:eastAsia="zh-CN"/>
        </w:rPr>
        <w:t>Huawei, CMCC</w:t>
      </w:r>
    </w:p>
    <w:bookmarkEnd w:id="28"/>
    <w:p>
      <w:pPr>
        <w:pStyle w:val="139"/>
        <w:snapToGrid w:val="0"/>
        <w:spacing w:before="120" w:after="120"/>
        <w:ind w:left="0"/>
        <w:jc w:val="both"/>
        <w:rPr>
          <w:sz w:val="20"/>
        </w:rPr>
      </w:pPr>
    </w:p>
    <w:p>
      <w:pPr>
        <w:pStyle w:val="139"/>
        <w:snapToGrid w:val="0"/>
        <w:spacing w:before="120" w:after="120"/>
        <w:ind w:left="0"/>
        <w:jc w:val="both"/>
        <w:rPr>
          <w:sz w:val="20"/>
        </w:rPr>
      </w:pPr>
    </w:p>
    <w:p>
      <w:pPr>
        <w:pStyle w:val="139"/>
        <w:snapToGrid w:val="0"/>
        <w:spacing w:before="120" w:after="120"/>
        <w:ind w:left="0"/>
        <w:jc w:val="both"/>
        <w:rPr>
          <w:sz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3-1</w:t>
      </w:r>
      <w:r>
        <w:rPr>
          <w:rFonts w:ascii="Times" w:hAnsi="Times" w:cs="Times"/>
          <w:b/>
          <w:bCs/>
          <w:sz w:val="20"/>
          <w:szCs w:val="20"/>
        </w:rPr>
        <w:t xml:space="preserve"> </w:t>
      </w:r>
      <w:r>
        <w:rPr>
          <w:rFonts w:hint="eastAsia" w:ascii="Times" w:hAnsi="Times" w:eastAsia="宋体" w:cs="Times"/>
          <w:b/>
          <w:bCs/>
          <w:sz w:val="20"/>
          <w:szCs w:val="20"/>
        </w:rPr>
        <w:t>for down-selection</w:t>
      </w:r>
    </w:p>
    <w:p>
      <w:pPr>
        <w:snapToGrid w:val="0"/>
        <w:jc w:val="both"/>
        <w:rPr>
          <w:rFonts w:ascii="Times" w:hAnsi="Times" w:cs="Times"/>
          <w:bCs/>
          <w:sz w:val="20"/>
        </w:rPr>
      </w:pPr>
      <w:bookmarkStart w:id="30" w:name="OLE_LINK36"/>
      <w:r>
        <w:rPr>
          <w:rFonts w:hint="eastAsia" w:ascii="Times" w:hAnsi="Times" w:eastAsia="宋体" w:cs="Times"/>
          <w:bCs/>
          <w:sz w:val="20"/>
          <w:szCs w:val="20"/>
        </w:rPr>
        <w:t xml:space="preserve">For </w:t>
      </w:r>
      <w:r>
        <w:rPr>
          <w:rFonts w:ascii="Times" w:hAnsi="Times" w:cs="Times"/>
          <w:bCs/>
          <w:sz w:val="20"/>
          <w:szCs w:val="20"/>
        </w:rPr>
        <w:t>PRS</w:t>
      </w:r>
      <w:r>
        <w:rPr>
          <w:rFonts w:hint="eastAsia" w:ascii="Times" w:hAnsi="Times" w:eastAsia="宋体" w:cs="Times"/>
          <w:bCs/>
          <w:sz w:val="20"/>
          <w:szCs w:val="20"/>
        </w:rPr>
        <w:t>/SRS</w:t>
      </w:r>
      <w:r>
        <w:rPr>
          <w:rFonts w:ascii="Times" w:hAnsi="Times" w:cs="Times"/>
          <w:bCs/>
          <w:sz w:val="20"/>
          <w:szCs w:val="20"/>
        </w:rPr>
        <w:t xml:space="preserve"> bandwidth aggregation between two or three different PFLs</w:t>
      </w:r>
      <w:r>
        <w:rPr>
          <w:rFonts w:hint="eastAsia" w:ascii="Times" w:hAnsi="Times" w:eastAsia="宋体" w:cs="Times"/>
          <w:bCs/>
          <w:sz w:val="20"/>
          <w:szCs w:val="20"/>
        </w:rPr>
        <w:t xml:space="preserve">/carriers, </w:t>
      </w:r>
      <w:bookmarkEnd w:id="30"/>
      <w:r>
        <w:rPr>
          <w:rFonts w:hint="eastAsia" w:ascii="Times" w:hAnsi="Times" w:eastAsia="宋体" w:cs="Times"/>
          <w:bCs/>
          <w:sz w:val="20"/>
          <w:szCs w:val="20"/>
        </w:rPr>
        <w:t>f</w:t>
      </w:r>
      <w:r>
        <w:rPr>
          <w:rFonts w:ascii="Times" w:hAnsi="Times" w:eastAsia="宋体" w:cs="Times"/>
          <w:sz w:val="20"/>
          <w:szCs w:val="20"/>
        </w:rPr>
        <w:t xml:space="preserve">or </w:t>
      </w:r>
      <w:r>
        <w:rPr>
          <w:rFonts w:ascii="Times" w:hAnsi="Times" w:cs="Times"/>
          <w:bCs/>
          <w:sz w:val="20"/>
        </w:rPr>
        <w:t>Tx TEG association reporting</w:t>
      </w:r>
    </w:p>
    <w:p>
      <w:pPr>
        <w:pStyle w:val="139"/>
        <w:numPr>
          <w:ilvl w:val="0"/>
          <w:numId w:val="24"/>
        </w:numPr>
        <w:snapToGrid w:val="0"/>
        <w:jc w:val="both"/>
        <w:rPr>
          <w:rFonts w:ascii="Times" w:hAnsi="Times" w:cs="Times"/>
          <w:sz w:val="20"/>
        </w:rPr>
      </w:pPr>
      <w:r>
        <w:rPr>
          <w:rFonts w:ascii="Times" w:hAnsi="Times" w:cs="Times"/>
          <w:sz w:val="20"/>
        </w:rPr>
        <w:t>Alt.1: The reported Tx TEG ID can be same or different for the aggregated PRS (SRS) resources</w:t>
      </w:r>
      <w:r>
        <w:rPr>
          <w:rFonts w:hint="eastAsia" w:ascii="Times" w:hAnsi="Times" w:cs="Times"/>
          <w:sz w:val="20"/>
          <w:lang w:eastAsia="zh-CN"/>
        </w:rPr>
        <w:t>, i.e. n</w:t>
      </w:r>
      <w:r>
        <w:rPr>
          <w:rFonts w:ascii="Times" w:hAnsi="Times" w:cs="Times"/>
          <w:sz w:val="20"/>
        </w:rPr>
        <w:t>o additional constraint is needed in the current spec</w:t>
      </w:r>
    </w:p>
    <w:p>
      <w:pPr>
        <w:pStyle w:val="139"/>
        <w:numPr>
          <w:ilvl w:val="0"/>
          <w:numId w:val="24"/>
        </w:numPr>
        <w:snapToGrid w:val="0"/>
        <w:jc w:val="both"/>
        <w:rPr>
          <w:rFonts w:ascii="Times" w:hAnsi="Times" w:cs="Times"/>
          <w:sz w:val="20"/>
        </w:rPr>
      </w:pPr>
      <w:r>
        <w:rPr>
          <w:rFonts w:ascii="Times" w:hAnsi="Times" w:cs="Times"/>
          <w:sz w:val="20"/>
        </w:rPr>
        <w:t>Alt.2: The reported Tx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39"/>
        <w:numPr>
          <w:ilvl w:val="0"/>
          <w:numId w:val="24"/>
        </w:numPr>
        <w:snapToGrid w:val="0"/>
        <w:jc w:val="both"/>
        <w:rPr>
          <w:rFonts w:ascii="Times" w:hAnsi="Times" w:cs="Times"/>
          <w:sz w:val="20"/>
        </w:rPr>
      </w:pPr>
      <w:r>
        <w:rPr>
          <w:rFonts w:ascii="Times" w:hAnsi="Times" w:cs="Times"/>
          <w:sz w:val="20"/>
        </w:rPr>
        <w:t xml:space="preserve">Alt.3: The Tx TEG ID </w:t>
      </w:r>
      <w:r>
        <w:rPr>
          <w:rFonts w:hint="eastAsia" w:ascii="Times" w:hAnsi="Times" w:cs="Times"/>
          <w:sz w:val="20"/>
          <w:lang w:eastAsia="zh-CN"/>
        </w:rPr>
        <w:t>i</w:t>
      </w:r>
      <w:r>
        <w:rPr>
          <w:rFonts w:ascii="Times" w:hAnsi="Times" w:cs="Times"/>
          <w:sz w:val="20"/>
          <w:lang w:eastAsia="zh-CN"/>
        </w:rPr>
        <w:t xml:space="preserve">s reported </w:t>
      </w:r>
      <w:r>
        <w:rPr>
          <w:rFonts w:ascii="Times" w:hAnsi="Times" w:cs="Times"/>
          <w:sz w:val="20"/>
        </w:rPr>
        <w:t xml:space="preserve">for one of aggregated resources and applicable for other aggregated resources. </w:t>
      </w:r>
    </w:p>
    <w:p>
      <w:pPr>
        <w:pStyle w:val="139"/>
        <w:numPr>
          <w:ilvl w:val="0"/>
          <w:numId w:val="24"/>
        </w:numPr>
        <w:snapToGrid w:val="0"/>
        <w:jc w:val="both"/>
        <w:rPr>
          <w:rFonts w:ascii="Times" w:hAnsi="Times" w:cs="Times"/>
          <w:sz w:val="20"/>
        </w:rPr>
      </w:pPr>
      <w:r>
        <w:rPr>
          <w:rFonts w:hint="eastAsia" w:ascii="Times" w:hAnsi="Times" w:cs="Times"/>
          <w:sz w:val="20"/>
          <w:lang w:eastAsia="zh-CN"/>
        </w:rPr>
        <w:t>Alt.4: No need to further discuss</w:t>
      </w:r>
    </w:p>
    <w:p>
      <w:pPr>
        <w:snapToGrid w:val="0"/>
        <w:jc w:val="both"/>
        <w:rPr>
          <w:rFonts w:ascii="Times" w:hAnsi="Times" w:eastAsia="宋体" w:cs="Times"/>
          <w:sz w:val="20"/>
          <w:szCs w:val="20"/>
        </w:rPr>
      </w:pPr>
      <w:r>
        <w:rPr>
          <w:rFonts w:hint="eastAsia" w:ascii="Times" w:hAnsi="Times" w:eastAsia="宋体" w:cs="Times"/>
          <w:bCs/>
          <w:sz w:val="20"/>
          <w:szCs w:val="20"/>
        </w:rPr>
        <w:t xml:space="preserve">For </w:t>
      </w:r>
      <w:r>
        <w:rPr>
          <w:rFonts w:ascii="Times" w:hAnsi="Times" w:cs="Times"/>
          <w:bCs/>
          <w:sz w:val="20"/>
          <w:szCs w:val="20"/>
        </w:rPr>
        <w:t>PRS</w:t>
      </w:r>
      <w:r>
        <w:rPr>
          <w:rFonts w:hint="eastAsia" w:ascii="Times" w:hAnsi="Times" w:eastAsia="宋体" w:cs="Times"/>
          <w:bCs/>
          <w:sz w:val="20"/>
          <w:szCs w:val="20"/>
        </w:rPr>
        <w:t>/SRS</w:t>
      </w:r>
      <w:r>
        <w:rPr>
          <w:rFonts w:ascii="Times" w:hAnsi="Times" w:cs="Times"/>
          <w:bCs/>
          <w:sz w:val="20"/>
          <w:szCs w:val="20"/>
        </w:rPr>
        <w:t xml:space="preserve"> bandwidth aggregation between two or three different PFLs</w:t>
      </w:r>
      <w:r>
        <w:rPr>
          <w:rFonts w:hint="eastAsia" w:ascii="Times" w:hAnsi="Times" w:eastAsia="宋体" w:cs="Times"/>
          <w:bCs/>
          <w:sz w:val="20"/>
          <w:szCs w:val="20"/>
        </w:rPr>
        <w:t>/carriers, for</w:t>
      </w:r>
      <w:r>
        <w:rPr>
          <w:rFonts w:ascii="Times" w:hAnsi="Times" w:eastAsia="宋体" w:cs="Times"/>
          <w:sz w:val="20"/>
          <w:szCs w:val="20"/>
        </w:rPr>
        <w:t xml:space="preserve"> Rx TEG ID reporting in the measurement report</w:t>
      </w:r>
    </w:p>
    <w:p>
      <w:pPr>
        <w:pStyle w:val="139"/>
        <w:numPr>
          <w:ilvl w:val="0"/>
          <w:numId w:val="25"/>
        </w:numPr>
        <w:snapToGrid w:val="0"/>
        <w:jc w:val="both"/>
        <w:rPr>
          <w:rFonts w:ascii="Times" w:hAnsi="Times" w:cs="Times"/>
          <w:sz w:val="20"/>
        </w:rPr>
      </w:pPr>
      <w:r>
        <w:rPr>
          <w:rFonts w:ascii="Times" w:hAnsi="Times" w:cs="Times"/>
          <w:sz w:val="20"/>
        </w:rPr>
        <w:t xml:space="preserve">Alt.1: </w:t>
      </w:r>
      <w:r>
        <w:rPr>
          <w:rFonts w:hint="eastAsia" w:ascii="Times" w:hAnsi="Times" w:cs="Times"/>
          <w:sz w:val="20"/>
          <w:lang w:eastAsia="zh-CN"/>
        </w:rPr>
        <w:t>S</w:t>
      </w:r>
      <w:r>
        <w:rPr>
          <w:rFonts w:ascii="Times" w:hAnsi="Times" w:cs="Times"/>
          <w:sz w:val="20"/>
        </w:rPr>
        <w:t xml:space="preserve">ingle Rx TEG ID is reported </w:t>
      </w:r>
      <w:r>
        <w:rPr>
          <w:rFonts w:hint="eastAsia" w:ascii="Times" w:hAnsi="Times" w:cs="Times" w:eastAsiaTheme="minorEastAsia"/>
          <w:iCs/>
          <w:sz w:val="20"/>
          <w:lang w:eastAsia="zh-CN"/>
        </w:rPr>
        <w:t>for the aggregated measurement, i.e. for all the linked PRS/SRS resources</w:t>
      </w:r>
    </w:p>
    <w:p>
      <w:pPr>
        <w:pStyle w:val="139"/>
        <w:numPr>
          <w:ilvl w:val="0"/>
          <w:numId w:val="25"/>
        </w:numPr>
        <w:snapToGrid w:val="0"/>
        <w:jc w:val="both"/>
        <w:rPr>
          <w:rFonts w:ascii="Times" w:hAnsi="Times" w:cs="Times"/>
          <w:sz w:val="20"/>
        </w:rPr>
      </w:pPr>
      <w:r>
        <w:rPr>
          <w:rFonts w:hint="eastAsia" w:ascii="Times" w:hAnsi="Times" w:cs="Times"/>
          <w:sz w:val="20"/>
          <w:lang w:eastAsia="zh-CN"/>
        </w:rPr>
        <w:t xml:space="preserve">Alt. 2: No need to further discuss </w:t>
      </w:r>
    </w:p>
    <w:p>
      <w:pPr>
        <w:snapToGrid w:val="0"/>
        <w:rPr>
          <w:rFonts w:ascii="Times" w:hAnsi="Times" w:cs="Times"/>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7"/>
        <w:gridCol w:w="80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507" w:type="dxa"/>
            <w:vAlign w:val="center"/>
          </w:tcPr>
          <w:p>
            <w:pPr>
              <w:snapToGrid w:val="0"/>
              <w:spacing w:before="120" w:after="120"/>
              <w:rPr>
                <w:b/>
                <w:iCs/>
                <w:sz w:val="18"/>
                <w:szCs w:val="18"/>
              </w:rPr>
            </w:pPr>
            <w:r>
              <w:rPr>
                <w:rFonts w:hint="eastAsia"/>
                <w:b/>
                <w:iCs/>
                <w:sz w:val="18"/>
                <w:szCs w:val="18"/>
              </w:rPr>
              <w:t>Company</w:t>
            </w:r>
          </w:p>
        </w:tc>
        <w:tc>
          <w:tcPr>
            <w:tcW w:w="8076"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18"/>
              </w:rPr>
            </w:pPr>
            <w:r>
              <w:rPr>
                <w:rFonts w:hint="eastAsia" w:eastAsiaTheme="minorEastAsia"/>
                <w:iCs/>
                <w:sz w:val="18"/>
                <w:szCs w:val="18"/>
              </w:rPr>
              <w:t>vivo</w:t>
            </w:r>
          </w:p>
        </w:tc>
        <w:tc>
          <w:tcPr>
            <w:tcW w:w="8076" w:type="dxa"/>
            <w:vAlign w:val="center"/>
          </w:tcPr>
          <w:p>
            <w:pPr>
              <w:snapToGrid w:val="0"/>
              <w:spacing w:before="120" w:after="120"/>
              <w:contextualSpacing/>
              <w:rPr>
                <w:rFonts w:eastAsiaTheme="minorEastAsia"/>
                <w:iCs/>
                <w:sz w:val="18"/>
                <w:szCs w:val="18"/>
              </w:rPr>
            </w:pPr>
            <w:r>
              <w:rPr>
                <w:rFonts w:hint="eastAsia" w:eastAsiaTheme="minorEastAsia"/>
                <w:iCs/>
                <w:sz w:val="18"/>
                <w:szCs w:val="18"/>
              </w:rPr>
              <w:t>For first  proposal, the Tx TEG number(ie.,0~7) of PRS is different with Rx TEG (ie.,0~31)of UE due to the Rx TEG ID is grouped across band and Tx TEG ID is grouped per dl-prs-id. In this case, same Tx TEG ID for different PFL(ie., dl-prs-id) doen’t mean anyting. And considering the timeline of Rel-19, we can accept no need to further discuss.</w:t>
            </w:r>
          </w:p>
          <w:p>
            <w:pPr>
              <w:pStyle w:val="137"/>
              <w:rPr>
                <w:rFonts w:eastAsiaTheme="minorEastAsia"/>
                <w:iCs/>
                <w:sz w:val="18"/>
                <w:szCs w:val="18"/>
              </w:rPr>
            </w:pPr>
            <w:r>
              <w:rPr>
                <w:rFonts w:hint="eastAsia"/>
                <w:lang w:val="en-US" w:eastAsia="zh-CN"/>
              </w:rPr>
              <w:drawing>
                <wp:inline distT="0" distB="0" distL="0" distR="0">
                  <wp:extent cx="4991100" cy="2679065"/>
                  <wp:effectExtent l="0" t="0" r="0" b="6985"/>
                  <wp:docPr id="17202754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275463" name="图片 1"/>
                          <pic:cNvPicPr>
                            <a:picLocks noChangeAspect="1"/>
                          </pic:cNvPicPr>
                        </pic:nvPicPr>
                        <pic:blipFill>
                          <a:blip r:embed="rId5"/>
                          <a:stretch>
                            <a:fillRect/>
                          </a:stretch>
                        </pic:blipFill>
                        <pic:spPr>
                          <a:xfrm>
                            <a:off x="0" y="0"/>
                            <a:ext cx="4994627" cy="268141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18"/>
              </w:rPr>
            </w:pPr>
            <w:r>
              <w:rPr>
                <w:rFonts w:hint="eastAsia" w:eastAsiaTheme="minorEastAsia"/>
                <w:iCs/>
                <w:sz w:val="18"/>
                <w:szCs w:val="18"/>
              </w:rPr>
              <w:t>OPPO</w:t>
            </w:r>
          </w:p>
        </w:tc>
        <w:tc>
          <w:tcPr>
            <w:tcW w:w="8076" w:type="dxa"/>
            <w:vAlign w:val="center"/>
          </w:tcPr>
          <w:p>
            <w:pPr>
              <w:snapToGrid w:val="0"/>
              <w:spacing w:before="120" w:after="120"/>
              <w:contextualSpacing/>
              <w:rPr>
                <w:rFonts w:eastAsiaTheme="minorEastAsia"/>
                <w:iCs/>
                <w:sz w:val="18"/>
                <w:szCs w:val="18"/>
              </w:rPr>
            </w:pPr>
            <w:r>
              <w:rPr>
                <w:rFonts w:hint="eastAsia" w:eastAsiaTheme="minorEastAsia"/>
                <w:iCs/>
                <w:sz w:val="18"/>
                <w:szCs w:val="18"/>
              </w:rPr>
              <w:t>We think there is no need to dicuss that.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1507" w:type="dxa"/>
            <w:vAlign w:val="center"/>
          </w:tcPr>
          <w:p>
            <w:pPr>
              <w:snapToGrid w:val="0"/>
              <w:spacing w:before="120" w:after="120"/>
              <w:rPr>
                <w:rFonts w:eastAsiaTheme="minorEastAsia"/>
                <w:iCs/>
                <w:sz w:val="18"/>
                <w:szCs w:val="18"/>
              </w:rPr>
            </w:pPr>
            <w:r>
              <w:rPr>
                <w:rFonts w:hint="eastAsia" w:eastAsiaTheme="minorEastAsia"/>
                <w:iCs/>
                <w:sz w:val="18"/>
                <w:szCs w:val="18"/>
              </w:rPr>
              <w:t>Qualcomm</w:t>
            </w:r>
          </w:p>
        </w:tc>
        <w:tc>
          <w:tcPr>
            <w:tcW w:w="8076" w:type="dxa"/>
            <w:vAlign w:val="center"/>
          </w:tcPr>
          <w:p>
            <w:pPr>
              <w:snapToGrid w:val="0"/>
              <w:spacing w:before="120" w:after="120"/>
              <w:contextualSpacing/>
              <w:rPr>
                <w:rFonts w:eastAsiaTheme="minorEastAsia"/>
                <w:iCs/>
                <w:sz w:val="18"/>
                <w:szCs w:val="18"/>
              </w:rPr>
            </w:pPr>
            <w:r>
              <w:rPr>
                <w:rFonts w:hint="eastAsia" w:eastAsiaTheme="minorEastAsia"/>
                <w:iCs/>
                <w:sz w:val="18"/>
                <w:szCs w:val="18"/>
              </w:rPr>
              <w:t>For 1</w:t>
            </w:r>
            <w:r>
              <w:rPr>
                <w:rFonts w:hint="eastAsia" w:eastAsiaTheme="minorEastAsia"/>
                <w:iCs/>
                <w:sz w:val="18"/>
                <w:szCs w:val="18"/>
                <w:vertAlign w:val="superscript"/>
              </w:rPr>
              <w:t>st</w:t>
            </w:r>
            <w:r>
              <w:rPr>
                <w:rFonts w:hint="eastAsia" w:eastAsiaTheme="minorEastAsia"/>
                <w:iCs/>
                <w:sz w:val="18"/>
                <w:szCs w:val="18"/>
              </w:rPr>
              <w:t xml:space="preserve"> topic: Alt. 1 or Alt. 4. </w:t>
            </w:r>
          </w:p>
          <w:p>
            <w:pPr>
              <w:snapToGrid w:val="0"/>
              <w:spacing w:before="120" w:after="120"/>
              <w:contextualSpacing/>
              <w:rPr>
                <w:rFonts w:eastAsiaTheme="minorEastAsia"/>
                <w:iCs/>
                <w:sz w:val="18"/>
                <w:szCs w:val="18"/>
              </w:rPr>
            </w:pPr>
            <w:r>
              <w:rPr>
                <w:rFonts w:hint="eastAsia" w:eastAsiaTheme="minorEastAsia"/>
                <w:iCs/>
                <w:sz w:val="18"/>
                <w:szCs w:val="18"/>
              </w:rPr>
              <w:t>For 2</w:t>
            </w:r>
            <w:r>
              <w:rPr>
                <w:rFonts w:hint="eastAsia" w:eastAsiaTheme="minorEastAsia"/>
                <w:iCs/>
                <w:sz w:val="18"/>
                <w:szCs w:val="18"/>
                <w:vertAlign w:val="superscript"/>
              </w:rPr>
              <w:t>nd</w:t>
            </w:r>
            <w:r>
              <w:rPr>
                <w:rFonts w:hint="eastAsia" w:eastAsiaTheme="minorEastAsia"/>
                <w:iCs/>
                <w:sz w:val="18"/>
                <w:szCs w:val="18"/>
              </w:rPr>
              <w:t xml:space="preserve"> topic: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22"/>
              </w:rPr>
            </w:pPr>
            <w:r>
              <w:rPr>
                <w:rFonts w:hint="eastAsia" w:eastAsiaTheme="minorEastAsia"/>
                <w:iCs/>
                <w:sz w:val="18"/>
                <w:szCs w:val="22"/>
              </w:rPr>
              <w:t>Spreadtrum</w:t>
            </w:r>
          </w:p>
        </w:tc>
        <w:tc>
          <w:tcPr>
            <w:tcW w:w="8076" w:type="dxa"/>
            <w:vAlign w:val="center"/>
          </w:tcPr>
          <w:p>
            <w:pPr>
              <w:snapToGrid w:val="0"/>
              <w:spacing w:before="120" w:after="120"/>
              <w:contextualSpacing/>
              <w:rPr>
                <w:rFonts w:eastAsiaTheme="minorEastAsia"/>
                <w:iCs/>
                <w:sz w:val="18"/>
                <w:szCs w:val="22"/>
              </w:rPr>
            </w:pPr>
            <w:r>
              <w:rPr>
                <w:rFonts w:hint="eastAsia" w:eastAsiaTheme="minorEastAsia"/>
                <w:iCs/>
                <w:sz w:val="18"/>
                <w:szCs w:val="22"/>
              </w:rPr>
              <w:t>For Tx TEG association reporting, we support Alt 4.</w:t>
            </w:r>
          </w:p>
          <w:p>
            <w:pPr>
              <w:snapToGrid w:val="0"/>
              <w:spacing w:before="120" w:after="120"/>
              <w:contextualSpacing/>
              <w:rPr>
                <w:rFonts w:eastAsiaTheme="minorEastAsia"/>
                <w:iCs/>
                <w:sz w:val="18"/>
                <w:szCs w:val="22"/>
              </w:rPr>
            </w:pPr>
            <w:r>
              <w:rPr>
                <w:rFonts w:hint="eastAsia" w:eastAsiaTheme="minorEastAsia"/>
                <w:iCs/>
                <w:sz w:val="18"/>
                <w:szCs w:val="22"/>
              </w:rPr>
              <w:t xml:space="preserve">For </w:t>
            </w:r>
            <w:r>
              <w:rPr>
                <w:rFonts w:hint="eastAsia" w:ascii="Times" w:hAnsi="Times" w:eastAsia="宋体" w:cs="Times"/>
                <w:sz w:val="18"/>
                <w:szCs w:val="22"/>
              </w:rPr>
              <w:t>Rx TEG ID reporting in the measurement report</w:t>
            </w:r>
            <w:r>
              <w:rPr>
                <w:rFonts w:hint="eastAsia" w:eastAsiaTheme="minorEastAsia"/>
                <w:iCs/>
                <w:sz w:val="18"/>
                <w:szCs w:val="22"/>
              </w:rPr>
              <w:t>, we support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22"/>
              </w:rPr>
            </w:pPr>
            <w:r>
              <w:rPr>
                <w:rFonts w:hint="eastAsia" w:eastAsiaTheme="minorEastAsia"/>
                <w:iCs/>
                <w:sz w:val="18"/>
                <w:szCs w:val="22"/>
              </w:rPr>
              <w:t>Xiaomi</w:t>
            </w:r>
          </w:p>
        </w:tc>
        <w:tc>
          <w:tcPr>
            <w:tcW w:w="8076" w:type="dxa"/>
            <w:vAlign w:val="center"/>
          </w:tcPr>
          <w:p>
            <w:pPr>
              <w:snapToGrid w:val="0"/>
              <w:spacing w:before="120" w:after="120"/>
              <w:contextualSpacing/>
              <w:rPr>
                <w:rFonts w:eastAsiaTheme="minorEastAsia"/>
                <w:iCs/>
                <w:sz w:val="18"/>
                <w:szCs w:val="22"/>
              </w:rPr>
            </w:pPr>
            <w:r>
              <w:rPr>
                <w:rFonts w:hint="eastAsia" w:eastAsiaTheme="minorEastAsia"/>
                <w:iCs/>
                <w:sz w:val="18"/>
                <w:szCs w:val="18"/>
              </w:rPr>
              <w:t>Support the proposal and prefer Alt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tcPr>
          <w:p>
            <w:pPr>
              <w:snapToGrid w:val="0"/>
              <w:spacing w:before="120" w:after="120"/>
              <w:rPr>
                <w:rFonts w:eastAsiaTheme="minorEastAsia"/>
                <w:iCs/>
                <w:sz w:val="18"/>
                <w:szCs w:val="18"/>
              </w:rPr>
            </w:pPr>
            <w:r>
              <w:rPr>
                <w:rFonts w:hint="eastAsia" w:eastAsiaTheme="minorEastAsia"/>
                <w:iCs/>
                <w:sz w:val="18"/>
                <w:szCs w:val="18"/>
              </w:rPr>
              <w:t>Huawei, HiSilicon</w:t>
            </w:r>
          </w:p>
        </w:tc>
        <w:tc>
          <w:tcPr>
            <w:tcW w:w="8076" w:type="dxa"/>
          </w:tcPr>
          <w:p>
            <w:pPr>
              <w:snapToGrid w:val="0"/>
              <w:spacing w:before="120" w:after="120"/>
              <w:contextualSpacing/>
              <w:rPr>
                <w:rFonts w:eastAsiaTheme="minorEastAsia"/>
                <w:iCs/>
                <w:sz w:val="18"/>
                <w:szCs w:val="18"/>
              </w:rPr>
            </w:pPr>
            <w:r>
              <w:rPr>
                <w:rFonts w:hint="eastAsia" w:eastAsiaTheme="minorEastAsia"/>
                <w:iCs/>
                <w:sz w:val="18"/>
                <w:szCs w:val="18"/>
              </w:rPr>
              <w:t>The TEG reporting can follow legacy, no need to further discuss it.</w:t>
            </w:r>
          </w:p>
          <w:p>
            <w:pPr>
              <w:snapToGrid w:val="0"/>
              <w:spacing w:before="120" w:after="120"/>
              <w:contextualSpacing/>
              <w:rPr>
                <w:rFonts w:eastAsiaTheme="minorEastAsia"/>
                <w:iCs/>
                <w:sz w:val="18"/>
                <w:szCs w:val="18"/>
              </w:rPr>
            </w:pPr>
          </w:p>
          <w:p>
            <w:pPr>
              <w:snapToGrid w:val="0"/>
              <w:spacing w:before="120" w:after="120"/>
              <w:contextualSpacing/>
              <w:rPr>
                <w:rFonts w:eastAsiaTheme="minorEastAsia"/>
                <w:iCs/>
                <w:sz w:val="18"/>
                <w:szCs w:val="18"/>
              </w:rPr>
            </w:pPr>
            <w:r>
              <w:rPr>
                <w:rFonts w:hint="eastAsia" w:eastAsiaTheme="minorEastAsia"/>
                <w:iCs/>
                <w:sz w:val="18"/>
                <w:szCs w:val="18"/>
              </w:rPr>
              <w:t>In case the same antenna port somehow results in different TEGs, it should be allowed.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18"/>
              </w:rPr>
            </w:pPr>
            <w:r>
              <w:rPr>
                <w:rFonts w:hint="eastAsia" w:eastAsiaTheme="minorEastAsia"/>
                <w:iCs/>
                <w:sz w:val="18"/>
                <w:szCs w:val="22"/>
              </w:rPr>
              <w:t xml:space="preserve">Samsung </w:t>
            </w:r>
          </w:p>
        </w:tc>
        <w:tc>
          <w:tcPr>
            <w:tcW w:w="8076" w:type="dxa"/>
            <w:vAlign w:val="center"/>
          </w:tcPr>
          <w:p>
            <w:pPr>
              <w:snapToGrid w:val="0"/>
              <w:spacing w:before="120" w:after="120"/>
              <w:contextualSpacing/>
              <w:rPr>
                <w:rFonts w:eastAsiaTheme="minorEastAsia"/>
                <w:iCs/>
                <w:sz w:val="18"/>
                <w:szCs w:val="18"/>
              </w:rPr>
            </w:pPr>
            <w:r>
              <w:rPr>
                <w:rFonts w:hint="eastAsia" w:eastAsiaTheme="minorEastAsia"/>
                <w:iCs/>
                <w:sz w:val="18"/>
                <w:szCs w:val="22"/>
              </w:rPr>
              <w:t>Our understanding of this proposal is to use a same Tx TEG at gNB side and a same Rx TEG at the UE side across the different aggregated PFLs to ensure a same measurement result, rather than 2 or 3 different measurement results. When different Tx/Rx TEG are supported in different PFLs/carriers, the measurement results will be different in each aggregated PFLs/CCs. So we support Alt.3 for the 1</w:t>
            </w:r>
            <w:r>
              <w:rPr>
                <w:rFonts w:hint="eastAsia" w:eastAsiaTheme="minorEastAsia"/>
                <w:iCs/>
                <w:sz w:val="18"/>
                <w:szCs w:val="22"/>
                <w:vertAlign w:val="superscript"/>
              </w:rPr>
              <w:t>st</w:t>
            </w:r>
            <w:r>
              <w:rPr>
                <w:rFonts w:hint="eastAsia" w:eastAsiaTheme="minorEastAsia"/>
                <w:iCs/>
                <w:sz w:val="18"/>
                <w:szCs w:val="22"/>
              </w:rPr>
              <w:t xml:space="preserve"> topic and Alt.1 for the 2</w:t>
            </w:r>
            <w:r>
              <w:rPr>
                <w:rFonts w:hint="eastAsia" w:eastAsiaTheme="minorEastAsia"/>
                <w:iCs/>
                <w:sz w:val="18"/>
                <w:szCs w:val="22"/>
                <w:vertAlign w:val="superscript"/>
              </w:rPr>
              <w:t>nd</w:t>
            </w:r>
            <w:r>
              <w:rPr>
                <w:rFonts w:hint="eastAsia" w:eastAsiaTheme="minorEastAsia"/>
                <w:iCs/>
                <w:sz w:val="18"/>
                <w:szCs w:val="22"/>
              </w:rPr>
              <w:t xml:space="preserve"> topic.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22"/>
              </w:rPr>
            </w:pPr>
            <w:r>
              <w:rPr>
                <w:rFonts w:hint="eastAsia" w:eastAsiaTheme="minorEastAsia"/>
                <w:iCs/>
                <w:sz w:val="18"/>
                <w:szCs w:val="22"/>
              </w:rPr>
              <w:t>InterDigital</w:t>
            </w:r>
          </w:p>
        </w:tc>
        <w:tc>
          <w:tcPr>
            <w:tcW w:w="8076" w:type="dxa"/>
            <w:vAlign w:val="center"/>
          </w:tcPr>
          <w:p>
            <w:pPr>
              <w:snapToGrid w:val="0"/>
              <w:spacing w:before="120" w:after="120"/>
              <w:contextualSpacing/>
              <w:rPr>
                <w:rFonts w:eastAsiaTheme="minorEastAsia"/>
                <w:iCs/>
                <w:sz w:val="18"/>
                <w:szCs w:val="18"/>
              </w:rPr>
            </w:pPr>
            <w:r>
              <w:rPr>
                <w:rFonts w:hint="eastAsia" w:eastAsiaTheme="minorEastAsia"/>
                <w:iCs/>
                <w:sz w:val="18"/>
                <w:szCs w:val="18"/>
              </w:rPr>
              <w:t>For 1</w:t>
            </w:r>
            <w:r>
              <w:rPr>
                <w:rFonts w:hint="eastAsia" w:eastAsiaTheme="minorEastAsia"/>
                <w:iCs/>
                <w:sz w:val="18"/>
                <w:szCs w:val="18"/>
                <w:vertAlign w:val="superscript"/>
              </w:rPr>
              <w:t>st</w:t>
            </w:r>
            <w:r>
              <w:rPr>
                <w:rFonts w:hint="eastAsia" w:eastAsiaTheme="minorEastAsia"/>
                <w:iCs/>
                <w:sz w:val="18"/>
                <w:szCs w:val="18"/>
              </w:rPr>
              <w:t xml:space="preserve"> topic, Alt 2</w:t>
            </w:r>
          </w:p>
          <w:p>
            <w:pPr>
              <w:snapToGrid w:val="0"/>
              <w:spacing w:before="120" w:after="120"/>
              <w:contextualSpacing/>
              <w:rPr>
                <w:rFonts w:eastAsiaTheme="minorEastAsia"/>
                <w:iCs/>
                <w:sz w:val="18"/>
                <w:szCs w:val="22"/>
              </w:rPr>
            </w:pPr>
            <w:r>
              <w:rPr>
                <w:rFonts w:hint="eastAsia" w:eastAsiaTheme="minorEastAsia"/>
                <w:iCs/>
                <w:sz w:val="18"/>
                <w:szCs w:val="18"/>
              </w:rPr>
              <w:t>For 2</w:t>
            </w:r>
            <w:r>
              <w:rPr>
                <w:rFonts w:hint="eastAsia" w:eastAsiaTheme="minorEastAsia"/>
                <w:iCs/>
                <w:sz w:val="18"/>
                <w:szCs w:val="18"/>
                <w:vertAlign w:val="superscript"/>
              </w:rPr>
              <w:t>nd</w:t>
            </w:r>
            <w:r>
              <w:rPr>
                <w:rFonts w:hint="eastAsia" w:eastAsiaTheme="minorEastAsia"/>
                <w:iCs/>
                <w:sz w:val="18"/>
                <w:szCs w:val="18"/>
              </w:rPr>
              <w:t xml:space="preserve"> topic,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vAlign w:val="center"/>
          </w:tcPr>
          <w:p>
            <w:pPr>
              <w:snapToGrid w:val="0"/>
              <w:spacing w:before="120" w:after="120"/>
              <w:rPr>
                <w:rFonts w:eastAsiaTheme="minorEastAsia"/>
                <w:iCs/>
                <w:sz w:val="18"/>
                <w:szCs w:val="22"/>
              </w:rPr>
            </w:pPr>
            <w:r>
              <w:rPr>
                <w:rFonts w:hint="eastAsia" w:eastAsiaTheme="minorEastAsia"/>
                <w:iCs/>
                <w:sz w:val="18"/>
                <w:szCs w:val="22"/>
              </w:rPr>
              <w:t>Ericsson</w:t>
            </w:r>
          </w:p>
        </w:tc>
        <w:tc>
          <w:tcPr>
            <w:tcW w:w="8076" w:type="dxa"/>
            <w:vAlign w:val="center"/>
          </w:tcPr>
          <w:p>
            <w:pPr>
              <w:snapToGrid w:val="0"/>
              <w:spacing w:before="120" w:after="120"/>
              <w:contextualSpacing/>
              <w:rPr>
                <w:rFonts w:eastAsiaTheme="minorEastAsia"/>
                <w:iCs/>
                <w:sz w:val="18"/>
                <w:szCs w:val="18"/>
              </w:rPr>
            </w:pPr>
            <w:r>
              <w:rPr>
                <w:rFonts w:hint="eastAsia" w:eastAsiaTheme="minorEastAsia"/>
                <w:iCs/>
                <w:sz w:val="18"/>
                <w:szCs w:val="18"/>
              </w:rPr>
              <w:t>All3 for 1</w:t>
            </w:r>
            <w:r>
              <w:rPr>
                <w:rFonts w:hint="eastAsia" w:eastAsiaTheme="minorEastAsia"/>
                <w:iCs/>
                <w:sz w:val="18"/>
                <w:szCs w:val="18"/>
                <w:vertAlign w:val="superscript"/>
              </w:rPr>
              <w:t>st</w:t>
            </w:r>
            <w:r>
              <w:rPr>
                <w:rFonts w:hint="eastAsia" w:eastAsiaTheme="minorEastAsia"/>
                <w:iCs/>
                <w:sz w:val="18"/>
                <w:szCs w:val="18"/>
              </w:rPr>
              <w:t xml:space="preserve"> topic, Alt 1 for 2</w:t>
            </w:r>
            <w:r>
              <w:rPr>
                <w:rFonts w:hint="eastAsia" w:eastAsiaTheme="minorEastAsia"/>
                <w:iCs/>
                <w:sz w:val="18"/>
                <w:szCs w:val="18"/>
                <w:vertAlign w:val="superscript"/>
              </w:rPr>
              <w:t>nd</w:t>
            </w:r>
            <w:r>
              <w:rPr>
                <w:rFonts w:hint="eastAsia" w:eastAsiaTheme="minorEastAsia"/>
                <w:iCs/>
                <w:sz w:val="18"/>
                <w:szCs w:val="18"/>
              </w:rPr>
              <w:t xml:space="preserve"> topic.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tcPr>
          <w:p>
            <w:pPr>
              <w:snapToGrid w:val="0"/>
              <w:spacing w:before="120" w:after="120"/>
              <w:rPr>
                <w:rFonts w:eastAsiaTheme="minorEastAsia"/>
                <w:iCs/>
                <w:sz w:val="18"/>
                <w:szCs w:val="22"/>
              </w:rPr>
            </w:pPr>
            <w:r>
              <w:rPr>
                <w:rFonts w:hint="eastAsia" w:eastAsia="Malgun Gothic"/>
                <w:iCs/>
                <w:sz w:val="18"/>
                <w:szCs w:val="18"/>
                <w:lang w:eastAsia="ko-KR"/>
              </w:rPr>
              <w:t>LGE</w:t>
            </w:r>
          </w:p>
        </w:tc>
        <w:tc>
          <w:tcPr>
            <w:tcW w:w="8076" w:type="dxa"/>
          </w:tcPr>
          <w:p>
            <w:pPr>
              <w:snapToGrid w:val="0"/>
              <w:spacing w:before="120" w:after="120"/>
              <w:contextualSpacing/>
              <w:rPr>
                <w:rFonts w:eastAsia="Malgun Gothic"/>
                <w:iCs/>
                <w:sz w:val="18"/>
                <w:szCs w:val="18"/>
                <w:lang w:eastAsia="ko-KR"/>
              </w:rPr>
            </w:pPr>
            <w:r>
              <w:rPr>
                <w:rFonts w:hint="eastAsia" w:eastAsia="Malgun Gothic"/>
                <w:iCs/>
                <w:sz w:val="18"/>
                <w:szCs w:val="18"/>
                <w:lang w:eastAsia="ko-KR"/>
              </w:rPr>
              <w:t>In our view, we don’t need to touch TEG related issue.</w:t>
            </w:r>
          </w:p>
          <w:p>
            <w:pPr>
              <w:snapToGrid w:val="0"/>
              <w:spacing w:before="120" w:after="120"/>
              <w:contextualSpacing/>
              <w:rPr>
                <w:rFonts w:eastAsiaTheme="minorEastAsia"/>
                <w:iCs/>
                <w:sz w:val="18"/>
                <w:szCs w:val="18"/>
              </w:rPr>
            </w:pPr>
            <w:r>
              <w:rPr>
                <w:rFonts w:hint="eastAsia" w:eastAsia="Malgun Gothic"/>
                <w:iCs/>
                <w:sz w:val="18"/>
                <w:szCs w:val="18"/>
                <w:lang w:eastAsia="ko-KR"/>
              </w:rPr>
              <w:t xml:space="preserve">Tx TEG: Alt 4 // Rx TEG: Art 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507" w:type="dxa"/>
          </w:tcPr>
          <w:p>
            <w:pPr>
              <w:snapToGrid w:val="0"/>
              <w:spacing w:before="120" w:after="120"/>
              <w:rPr>
                <w:rFonts w:eastAsia="Malgun Gothic"/>
                <w:iCs/>
                <w:sz w:val="18"/>
                <w:szCs w:val="18"/>
                <w:lang w:eastAsia="ko-KR"/>
              </w:rPr>
            </w:pPr>
            <w:r>
              <w:rPr>
                <w:rFonts w:hint="eastAsia" w:eastAsia="Malgun Gothic"/>
                <w:iCs/>
                <w:sz w:val="18"/>
                <w:szCs w:val="18"/>
                <w:lang w:eastAsia="ko-KR"/>
              </w:rPr>
              <w:t>Nokia/NSB</w:t>
            </w:r>
          </w:p>
        </w:tc>
        <w:tc>
          <w:tcPr>
            <w:tcW w:w="8076" w:type="dxa"/>
          </w:tcPr>
          <w:p>
            <w:pPr>
              <w:snapToGrid w:val="0"/>
              <w:spacing w:before="120" w:after="120"/>
              <w:contextualSpacing/>
              <w:rPr>
                <w:rFonts w:eastAsia="Malgun Gothic"/>
                <w:iCs/>
                <w:sz w:val="18"/>
                <w:szCs w:val="18"/>
                <w:lang w:eastAsia="ko-KR"/>
              </w:rPr>
            </w:pPr>
            <w:r>
              <w:rPr>
                <w:rFonts w:hint="eastAsia" w:eastAsia="Malgun Gothic"/>
                <w:iCs/>
                <w:sz w:val="18"/>
                <w:szCs w:val="18"/>
                <w:lang w:eastAsia="ko-KR"/>
              </w:rPr>
              <w:t>We support Alt 3 and Alt 1 for the 1st and the 2</w:t>
            </w:r>
            <w:r>
              <w:rPr>
                <w:rFonts w:hint="eastAsia" w:eastAsia="Malgun Gothic"/>
                <w:iCs/>
                <w:sz w:val="18"/>
                <w:szCs w:val="18"/>
                <w:vertAlign w:val="superscript"/>
                <w:lang w:eastAsia="ko-KR"/>
              </w:rPr>
              <w:t>nd</w:t>
            </w:r>
            <w:r>
              <w:rPr>
                <w:rFonts w:hint="eastAsia" w:eastAsia="Malgun Gothic"/>
                <w:iCs/>
                <w:sz w:val="18"/>
                <w:szCs w:val="18"/>
                <w:lang w:eastAsia="ko-KR"/>
              </w:rPr>
              <w:t xml:space="preserve"> bullet respectively.</w:t>
            </w:r>
          </w:p>
        </w:tc>
      </w:tr>
    </w:tbl>
    <w:p>
      <w:pPr>
        <w:snapToGrid w:val="0"/>
        <w:rPr>
          <w:rFonts w:ascii="Times" w:hAnsi="Times" w:cs="Times"/>
          <w:sz w:val="20"/>
          <w:lang w:val="en-GB"/>
        </w:rPr>
      </w:pPr>
    </w:p>
    <w:p>
      <w:pPr>
        <w:snapToGrid w:val="0"/>
        <w:rPr>
          <w:lang w:val="en-GB"/>
        </w:rPr>
      </w:pPr>
    </w:p>
    <w:p>
      <w:pPr>
        <w:pStyle w:val="139"/>
        <w:snapToGrid w:val="0"/>
        <w:spacing w:after="0"/>
        <w:ind w:left="0"/>
        <w:textAlignment w:val="auto"/>
        <w:rPr>
          <w:rFonts w:eastAsiaTheme="minorEastAsia"/>
          <w:sz w:val="20"/>
          <w:lang w:eastAsia="zh-CN"/>
        </w:rPr>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6" w:hRule="atLeast"/>
        </w:trPr>
        <w:tc>
          <w:tcPr>
            <w:tcW w:w="1150" w:type="dxa"/>
          </w:tcPr>
          <w:p>
            <w:pPr>
              <w:tabs>
                <w:tab w:val="left" w:pos="1276"/>
              </w:tabs>
              <w:snapToGrid w:val="0"/>
              <w:rPr>
                <w:sz w:val="20"/>
                <w:szCs w:val="20"/>
                <w:lang w:val="en-GB"/>
              </w:rPr>
            </w:pPr>
            <w:r>
              <w:rPr>
                <w:rFonts w:hint="eastAsia" w:eastAsia="宋体"/>
                <w:sz w:val="20"/>
                <w:szCs w:val="20"/>
              </w:rPr>
              <w:t>v</w:t>
            </w:r>
            <w:r>
              <w:rPr>
                <w:rFonts w:hint="eastAsia"/>
                <w:sz w:val="20"/>
                <w:szCs w:val="20"/>
                <w:lang w:val="en-GB"/>
              </w:rPr>
              <w:t>ivo</w:t>
            </w:r>
          </w:p>
        </w:tc>
        <w:tc>
          <w:tcPr>
            <w:tcW w:w="8183" w:type="dxa"/>
          </w:tcPr>
          <w:p>
            <w:pPr>
              <w:snapToGrid w:val="0"/>
              <w:rPr>
                <w:rFonts w:eastAsia="宋体"/>
                <w:sz w:val="20"/>
                <w:szCs w:val="20"/>
              </w:rPr>
            </w:pPr>
            <w:r>
              <w:rPr>
                <w:rFonts w:hint="eastAsia" w:eastAsia="宋体"/>
                <w:sz w:val="20"/>
                <w:szCs w:val="20"/>
              </w:rPr>
              <w:t>Proposal 4:</w:t>
            </w:r>
          </w:p>
          <w:p>
            <w:pPr>
              <w:numPr>
                <w:ilvl w:val="0"/>
                <w:numId w:val="7"/>
              </w:numPr>
              <w:spacing w:after="120" w:line="260" w:lineRule="exact"/>
              <w:jc w:val="both"/>
              <w:rPr>
                <w:rFonts w:eastAsia="宋体"/>
                <w:sz w:val="20"/>
                <w:szCs w:val="20"/>
              </w:rPr>
            </w:pPr>
            <w:r>
              <w:rPr>
                <w:rFonts w:hint="eastAsia" w:eastAsia="宋体"/>
                <w:sz w:val="20"/>
                <w:szCs w:val="20"/>
              </w:rPr>
              <w:t xml:space="preserve">For PRS bandwidth aggregation across PFLs, </w:t>
            </w:r>
            <w:bookmarkStart w:id="31" w:name="OLE_LINK20"/>
            <w:r>
              <w:rPr>
                <w:rFonts w:hint="eastAsia" w:eastAsia="宋体"/>
                <w:sz w:val="20"/>
                <w:szCs w:val="20"/>
              </w:rPr>
              <w:t xml:space="preserve">the PRS resource set ID(s) can be used to inform UE by LMF (or inform LMF by NG-RAN) that PRS resources from which two or three PFLs are linked. </w:t>
            </w:r>
          </w:p>
          <w:p>
            <w:pPr>
              <w:tabs>
                <w:tab w:val="left" w:pos="640"/>
              </w:tabs>
              <w:snapToGrid w:val="0"/>
              <w:jc w:val="both"/>
              <w:rPr>
                <w:rFonts w:eastAsia="宋体"/>
                <w:sz w:val="20"/>
                <w:szCs w:val="20"/>
              </w:rPr>
            </w:pPr>
            <w:r>
              <w:rPr>
                <w:rFonts w:hint="eastAsia" w:eastAsia="宋体"/>
                <w:sz w:val="20"/>
                <w:szCs w:val="20"/>
              </w:rPr>
              <w:t>Proposal 5:</w:t>
            </w:r>
          </w:p>
          <w:p>
            <w:pPr>
              <w:numPr>
                <w:ilvl w:val="0"/>
                <w:numId w:val="7"/>
              </w:numPr>
              <w:spacing w:after="120" w:line="260" w:lineRule="exact"/>
              <w:jc w:val="both"/>
              <w:rPr>
                <w:rFonts w:eastAsia="等线"/>
                <w:sz w:val="20"/>
                <w:szCs w:val="20"/>
              </w:rPr>
            </w:pPr>
            <w:r>
              <w:rPr>
                <w:rFonts w:hint="eastAsia" w:eastAsia="宋体"/>
                <w:sz w:val="20"/>
                <w:szCs w:val="20"/>
              </w:rPr>
              <w:t>Introduce an indicator to distinguish single FFT/IFFT or multiple FFT/IFFT operation in bandwidth aggregation measurement report</w:t>
            </w:r>
            <w:bookmarkEnd w:id="31"/>
            <w:r>
              <w:rPr>
                <w:rFonts w:hint="eastAsia" w:eastAsia="宋体"/>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8" w:hRule="atLeast"/>
        </w:trPr>
        <w:tc>
          <w:tcPr>
            <w:tcW w:w="1150" w:type="dxa"/>
          </w:tcPr>
          <w:p>
            <w:pPr>
              <w:tabs>
                <w:tab w:val="left" w:pos="1276"/>
              </w:tabs>
              <w:snapToGrid w:val="0"/>
              <w:rPr>
                <w:sz w:val="20"/>
                <w:szCs w:val="20"/>
                <w:lang w:val="en-GB"/>
              </w:rPr>
            </w:pPr>
            <w:r>
              <w:rPr>
                <w:rFonts w:hint="eastAsia"/>
                <w:sz w:val="20"/>
                <w:szCs w:val="20"/>
                <w:lang w:val="en-GB"/>
              </w:rPr>
              <w:t>QC</w:t>
            </w:r>
          </w:p>
        </w:tc>
        <w:tc>
          <w:tcPr>
            <w:tcW w:w="8183" w:type="dxa"/>
          </w:tcPr>
          <w:p>
            <w:pPr>
              <w:snapToGrid w:val="0"/>
              <w:rPr>
                <w:sz w:val="20"/>
                <w:szCs w:val="20"/>
              </w:rPr>
            </w:pPr>
            <w:r>
              <w:rPr>
                <w:rFonts w:hint="eastAsia"/>
                <w:sz w:val="20"/>
                <w:szCs w:val="20"/>
              </w:rPr>
              <w:t>Proposal 4: For PRS bandwidth aggregation across PFLs, in a measurement report element, it should be up to UE implementation whether the single RSRP or single RSRPP is based on aggregated PRS resources across aggregated PFLs.</w:t>
            </w:r>
          </w:p>
          <w:p>
            <w:pPr>
              <w:rPr>
                <w:sz w:val="20"/>
                <w:szCs w:val="20"/>
              </w:rPr>
            </w:pPr>
            <w:r>
              <w:rPr>
                <w:rFonts w:hint="eastAsia"/>
                <w:sz w:val="20"/>
                <w:szCs w:val="20"/>
              </w:rPr>
              <w:t xml:space="preserve"> Proposal 11: Up to TRP implementation whether the single RSRP/RSRPP is based on aggregated SRS resources across aggregated carriers, or based on a single SRS resource.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6" w:hRule="atLeast"/>
        </w:trPr>
        <w:tc>
          <w:tcPr>
            <w:tcW w:w="1150" w:type="dxa"/>
          </w:tcPr>
          <w:p>
            <w:pPr>
              <w:tabs>
                <w:tab w:val="left" w:pos="1276"/>
              </w:tabs>
              <w:snapToGrid w:val="0"/>
              <w:rPr>
                <w:rFonts w:eastAsia="宋体"/>
                <w:sz w:val="20"/>
                <w:szCs w:val="20"/>
              </w:rPr>
            </w:pPr>
            <w:r>
              <w:rPr>
                <w:rFonts w:hint="eastAsia" w:eastAsia="宋体"/>
                <w:sz w:val="20"/>
                <w:szCs w:val="20"/>
              </w:rPr>
              <w:t>CMCC</w:t>
            </w:r>
          </w:p>
        </w:tc>
        <w:tc>
          <w:tcPr>
            <w:tcW w:w="8183" w:type="dxa"/>
          </w:tcPr>
          <w:p>
            <w:pPr>
              <w:spacing w:before="180" w:beforeLines="50" w:line="288" w:lineRule="auto"/>
              <w:jc w:val="both"/>
              <w:rPr>
                <w:sz w:val="20"/>
                <w:szCs w:val="20"/>
              </w:rPr>
            </w:pPr>
            <w:r>
              <w:rPr>
                <w:rFonts w:hint="eastAsia"/>
                <w:sz w:val="20"/>
                <w:szCs w:val="20"/>
              </w:rPr>
              <w:t>Proposal 3: In a measurement report, for the reported single RSRP/RSRPP, support that:</w:t>
            </w:r>
          </w:p>
          <w:p>
            <w:pPr>
              <w:pStyle w:val="144"/>
              <w:numPr>
                <w:ilvl w:val="0"/>
                <w:numId w:val="11"/>
              </w:numPr>
              <w:ind w:left="709"/>
              <w:rPr>
                <w:sz w:val="20"/>
                <w:szCs w:val="20"/>
              </w:rPr>
            </w:pPr>
            <w:r>
              <w:rPr>
                <w:rFonts w:hint="eastAsia"/>
                <w:sz w:val="20"/>
                <w:szCs w:val="20"/>
                <w:lang w:val="en-GB"/>
              </w:rPr>
              <w:t>Up to UE implementation to perform the RSRPP/RSRPP measurement based on single or aggregated PRS resource(s).</w:t>
            </w:r>
          </w:p>
          <w:p>
            <w:pPr>
              <w:spacing w:before="180" w:beforeLines="50" w:line="288" w:lineRule="auto"/>
              <w:jc w:val="both"/>
              <w:rPr>
                <w:sz w:val="20"/>
                <w:szCs w:val="20"/>
              </w:rPr>
            </w:pPr>
            <w:r>
              <w:rPr>
                <w:rFonts w:hint="eastAsia"/>
                <w:sz w:val="20"/>
                <w:szCs w:val="20"/>
              </w:rPr>
              <w:t>Proposal 7: In a measurement report, for the reported single RSRP/RSRPP for SRS BW aggregation, support that:</w:t>
            </w:r>
          </w:p>
          <w:p>
            <w:pPr>
              <w:pStyle w:val="144"/>
              <w:numPr>
                <w:ilvl w:val="0"/>
                <w:numId w:val="11"/>
              </w:numPr>
              <w:ind w:left="709"/>
              <w:rPr>
                <w:sz w:val="20"/>
                <w:szCs w:val="20"/>
                <w:lang w:val="en-GB"/>
              </w:rPr>
            </w:pPr>
            <w:r>
              <w:rPr>
                <w:rFonts w:hint="eastAsia"/>
                <w:sz w:val="20"/>
                <w:szCs w:val="20"/>
                <w:lang w:val="en-GB"/>
              </w:rPr>
              <w:t>Up to gNB implementation to perform the RSRPP/RSRPP measurement based on single or aggregated SRS resource(s).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hint="eastAsia" w:eastAsia="宋体"/>
                <w:sz w:val="20"/>
                <w:szCs w:val="20"/>
              </w:rPr>
              <w:t>LG</w:t>
            </w:r>
          </w:p>
        </w:tc>
        <w:tc>
          <w:tcPr>
            <w:tcW w:w="8183" w:type="dxa"/>
          </w:tcPr>
          <w:p>
            <w:pPr>
              <w:spacing w:before="60" w:after="180" w:line="360" w:lineRule="atLeast"/>
              <w:rPr>
                <w:rFonts w:eastAsia="Malgun Gothic"/>
                <w:sz w:val="20"/>
                <w:szCs w:val="20"/>
              </w:rPr>
            </w:pPr>
            <w:r>
              <w:rPr>
                <w:rFonts w:hint="eastAsia" w:eastAsia="Malgun Gothic"/>
                <w:sz w:val="20"/>
                <w:szCs w:val="20"/>
              </w:rPr>
              <w:t>Proposal 1:</w:t>
            </w:r>
            <w:r>
              <w:rPr>
                <w:rFonts w:hint="eastAsia" w:eastAsia="Batang"/>
                <w:sz w:val="20"/>
                <w:szCs w:val="20"/>
                <w:lang w:val="en-GB" w:eastAsia="en-US"/>
              </w:rPr>
              <w:t xml:space="preserve"> For PRS bandwidth aggregation across PFLs,</w:t>
            </w:r>
            <w:r>
              <w:rPr>
                <w:rFonts w:hint="eastAsia" w:eastAsia="Malgun Gothic"/>
                <w:sz w:val="20"/>
                <w:szCs w:val="20"/>
              </w:rPr>
              <w:t xml:space="preserve"> the single RSRP/RSRPP in a measurement report element is based on aggregated PRS resources across aggregated PFLs. </w:t>
            </w:r>
          </w:p>
          <w:p>
            <w:pPr>
              <w:spacing w:before="60" w:after="180" w:line="360" w:lineRule="atLeast"/>
              <w:rPr>
                <w:rFonts w:eastAsia="Malgun Gothic"/>
                <w:sz w:val="20"/>
                <w:szCs w:val="20"/>
                <w:lang w:val="en-GB"/>
              </w:rPr>
            </w:pPr>
            <w:r>
              <w:rPr>
                <w:rFonts w:hint="eastAsia" w:eastAsia="Malgun Gothic"/>
                <w:sz w:val="20"/>
                <w:szCs w:val="20"/>
              </w:rPr>
              <w:t>Proposal 2:</w:t>
            </w:r>
            <w:r>
              <w:rPr>
                <w:rFonts w:hint="eastAsia" w:eastAsia="Batang"/>
                <w:sz w:val="20"/>
                <w:szCs w:val="20"/>
                <w:lang w:val="en-GB" w:eastAsia="en-US"/>
              </w:rPr>
              <w:t xml:space="preserve"> For SRS bandwidth aggregation across carriers,</w:t>
            </w:r>
            <w:r>
              <w:rPr>
                <w:rFonts w:hint="eastAsia" w:eastAsia="Malgun Gothic"/>
                <w:sz w:val="20"/>
                <w:szCs w:val="20"/>
              </w:rPr>
              <w:t xml:space="preserve"> the single RSRP/RSRPP is based on aggregated SRS resources across aggregated carriers.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2" w:hRule="atLeast"/>
        </w:trPr>
        <w:tc>
          <w:tcPr>
            <w:tcW w:w="1150" w:type="dxa"/>
          </w:tcPr>
          <w:p>
            <w:pPr>
              <w:tabs>
                <w:tab w:val="left" w:pos="1276"/>
              </w:tabs>
              <w:snapToGrid w:val="0"/>
              <w:rPr>
                <w:sz w:val="20"/>
                <w:szCs w:val="20"/>
                <w:lang w:val="en-GB"/>
              </w:rPr>
            </w:pPr>
            <w:r>
              <w:rPr>
                <w:rFonts w:hint="eastAsia"/>
                <w:sz w:val="20"/>
                <w:szCs w:val="20"/>
                <w:lang w:val="en-GB"/>
              </w:rPr>
              <w:t>Nokia</w:t>
            </w:r>
          </w:p>
        </w:tc>
        <w:tc>
          <w:tcPr>
            <w:tcW w:w="8183" w:type="dxa"/>
          </w:tcPr>
          <w:p>
            <w:pPr>
              <w:snapToGrid w:val="0"/>
              <w:jc w:val="both"/>
              <w:rPr>
                <w:sz w:val="20"/>
                <w:szCs w:val="20"/>
              </w:rPr>
            </w:pPr>
            <w:r>
              <w:rPr>
                <w:rFonts w:hint="eastAsia"/>
                <w:sz w:val="20"/>
                <w:szCs w:val="20"/>
              </w:rPr>
              <w:t>Proposal 1: If the reporting of RSRP per frequency layer is default, no need to report a joint RSRP across PFLs.</w:t>
            </w:r>
          </w:p>
          <w:p>
            <w:pPr>
              <w:snapToGrid w:val="0"/>
              <w:jc w:val="both"/>
              <w:rPr>
                <w:sz w:val="20"/>
                <w:szCs w:val="20"/>
              </w:rPr>
            </w:pPr>
            <w:r>
              <w:rPr>
                <w:rFonts w:hint="eastAsia"/>
                <w:sz w:val="20"/>
                <w:szCs w:val="20"/>
              </w:rPr>
              <w:t>Proposal 5: If the reporting of RSRP per CC is default, no need to report a joint RSRP across CCs.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1" w:hRule="atLeast"/>
        </w:trPr>
        <w:tc>
          <w:tcPr>
            <w:tcW w:w="1150" w:type="dxa"/>
          </w:tcPr>
          <w:p>
            <w:pPr>
              <w:tabs>
                <w:tab w:val="left" w:pos="1276"/>
              </w:tabs>
              <w:snapToGrid w:val="0"/>
              <w:rPr>
                <w:sz w:val="20"/>
                <w:szCs w:val="20"/>
                <w:lang w:val="en-GB"/>
              </w:rPr>
            </w:pPr>
            <w:r>
              <w:rPr>
                <w:rFonts w:hint="eastAsia"/>
                <w:sz w:val="20"/>
                <w:szCs w:val="20"/>
                <w:lang w:val="en-GB"/>
              </w:rPr>
              <w:t>Ericsson</w:t>
            </w:r>
          </w:p>
        </w:tc>
        <w:tc>
          <w:tcPr>
            <w:tcW w:w="8183" w:type="dxa"/>
          </w:tcPr>
          <w:p>
            <w:pPr>
              <w:snapToGrid w:val="0"/>
              <w:jc w:val="both"/>
              <w:rPr>
                <w:rFonts w:eastAsia="宋体"/>
                <w:sz w:val="20"/>
                <w:szCs w:val="20"/>
              </w:rPr>
            </w:pPr>
            <w:r>
              <w:rPr>
                <w:rFonts w:hint="eastAsia" w:eastAsia="宋体"/>
                <w:sz w:val="20"/>
                <w:szCs w:val="20"/>
              </w:rPr>
              <w:t>Proposal 9:</w:t>
            </w:r>
          </w:p>
          <w:p>
            <w:pPr>
              <w:pStyle w:val="152"/>
              <w:tabs>
                <w:tab w:val="left" w:pos="5557"/>
              </w:tabs>
              <w:ind w:left="1304"/>
              <w:rPr>
                <w:rFonts w:ascii="Times New Roman" w:hAnsi="Times New Roman" w:cs="Times New Roman"/>
                <w:b w:val="0"/>
                <w:bCs w:val="0"/>
                <w:sz w:val="20"/>
                <w:szCs w:val="20"/>
              </w:rPr>
            </w:pPr>
            <w:bookmarkStart w:id="32" w:name="_Toc142658046"/>
            <w:r>
              <w:rPr>
                <w:rFonts w:hint="eastAsia" w:ascii="Times New Roman" w:hAnsi="Times New Roman" w:cs="Times New Roman"/>
                <w:b w:val="0"/>
                <w:bCs w:val="0"/>
                <w:sz w:val="20"/>
                <w:szCs w:val="20"/>
              </w:rPr>
              <w:t>In NR Rel-18, support one RSRP measurement and one RSRPP measurement per path for the SRS resources across aggregated carriers in a measurement report element.</w:t>
            </w:r>
            <w:bookmarkEnd w:id="32"/>
            <w:r>
              <w:rPr>
                <w:rFonts w:hint="eastAsia" w:ascii="Times New Roman" w:hAnsi="Times New Roman" w:cs="Times New Roman"/>
                <w:b w:val="0"/>
                <w:bCs w:val="0"/>
                <w:sz w:val="20"/>
                <w:szCs w:val="20"/>
              </w:rPr>
              <w:t xml:space="preserve"> </w:t>
            </w:r>
          </w:p>
          <w:p>
            <w:pPr>
              <w:snapToGrid w:val="0"/>
              <w:jc w:val="both"/>
              <w:rPr>
                <w:rFonts w:eastAsia="宋体"/>
                <w:sz w:val="20"/>
                <w:szCs w:val="20"/>
              </w:rPr>
            </w:pPr>
            <w:r>
              <w:rPr>
                <w:rFonts w:hint="eastAsia" w:eastAsia="宋体"/>
                <w:sz w:val="20"/>
                <w:szCs w:val="20"/>
              </w:rPr>
              <w:t>Proposal 6:</w:t>
            </w:r>
          </w:p>
          <w:p>
            <w:pPr>
              <w:pStyle w:val="152"/>
              <w:tabs>
                <w:tab w:val="left" w:pos="5557"/>
              </w:tabs>
              <w:ind w:left="1304"/>
              <w:rPr>
                <w:rFonts w:ascii="Times New Roman" w:hAnsi="Times New Roman" w:cs="Times New Roman"/>
                <w:b w:val="0"/>
                <w:bCs w:val="0"/>
                <w:sz w:val="20"/>
                <w:szCs w:val="20"/>
              </w:rPr>
            </w:pPr>
            <w:bookmarkStart w:id="33" w:name="_Toc142658043"/>
            <w:r>
              <w:rPr>
                <w:rFonts w:hint="eastAsia" w:ascii="Times New Roman" w:hAnsi="Times New Roman" w:cs="Times New Roman"/>
                <w:b w:val="0"/>
                <w:bCs w:val="0"/>
                <w:sz w:val="20"/>
                <w:szCs w:val="20"/>
              </w:rPr>
              <w:t>In NR Rel-18, support both single RSRP and single RSRPP measurement reporting based on aggregated PRS resources across aggregated PFLs.</w:t>
            </w:r>
            <w:bookmarkEnd w:id="33"/>
          </w:p>
          <w:p>
            <w:pPr>
              <w:snapToGrid w:val="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1150" w:type="dxa"/>
          </w:tcPr>
          <w:p>
            <w:pPr>
              <w:tabs>
                <w:tab w:val="left" w:pos="1276"/>
              </w:tabs>
              <w:snapToGrid w:val="0"/>
              <w:rPr>
                <w:sz w:val="20"/>
                <w:szCs w:val="20"/>
                <w:lang w:val="en-GB"/>
              </w:rPr>
            </w:pPr>
            <w:r>
              <w:rPr>
                <w:rFonts w:hint="eastAsia"/>
                <w:sz w:val="20"/>
                <w:szCs w:val="20"/>
                <w:lang w:val="en-GB"/>
              </w:rPr>
              <w:t>ZTE</w:t>
            </w:r>
          </w:p>
        </w:tc>
        <w:tc>
          <w:tcPr>
            <w:tcW w:w="8183" w:type="dxa"/>
          </w:tcPr>
          <w:p>
            <w:pPr>
              <w:pStyle w:val="139"/>
              <w:snapToGrid w:val="0"/>
              <w:spacing w:after="0"/>
              <w:ind w:left="0"/>
              <w:jc w:val="both"/>
              <w:rPr>
                <w:sz w:val="20"/>
              </w:rPr>
            </w:pPr>
            <w:r>
              <w:rPr>
                <w:rFonts w:hint="eastAsia"/>
                <w:sz w:val="20"/>
              </w:rPr>
              <w:t xml:space="preserve">Proposal </w:t>
            </w:r>
            <w:r>
              <w:rPr>
                <w:rFonts w:hint="eastAsia"/>
                <w:sz w:val="20"/>
                <w:lang w:eastAsia="zh-CN"/>
              </w:rPr>
              <w:t>2</w:t>
            </w:r>
            <w:r>
              <w:rPr>
                <w:rFonts w:hint="eastAsia"/>
                <w:sz w:val="20"/>
              </w:rPr>
              <w:t xml:space="preserve">: </w:t>
            </w:r>
            <w:r>
              <w:rPr>
                <w:rFonts w:hint="eastAsia" w:eastAsia="Batang"/>
                <w:sz w:val="20"/>
                <w:lang w:bidi="ar"/>
              </w:rPr>
              <w:t>For PRS</w:t>
            </w:r>
            <w:r>
              <w:rPr>
                <w:rFonts w:hint="eastAsia"/>
                <w:sz w:val="20"/>
                <w:lang w:eastAsia="zh-CN" w:bidi="ar"/>
              </w:rPr>
              <w:t>/SRS</w:t>
            </w:r>
            <w:r>
              <w:rPr>
                <w:rFonts w:hint="eastAsia" w:eastAsia="Batang"/>
                <w:sz w:val="20"/>
                <w:lang w:bidi="ar"/>
              </w:rPr>
              <w:t xml:space="preserve"> bandwidth aggregation, in a measurement report element, </w:t>
            </w:r>
            <w:r>
              <w:rPr>
                <w:rFonts w:hint="eastAsia"/>
                <w:sz w:val="20"/>
                <w:lang w:eastAsia="zh-CN"/>
              </w:rPr>
              <w:t xml:space="preserve">the </w:t>
            </w:r>
            <w:r>
              <w:rPr>
                <w:rFonts w:hint="eastAsia"/>
                <w:sz w:val="20"/>
              </w:rPr>
              <w:t>single RSRP/RSRPP is based on aggregated PRS</w:t>
            </w:r>
            <w:r>
              <w:rPr>
                <w:rFonts w:hint="eastAsia"/>
                <w:sz w:val="20"/>
                <w:lang w:eastAsia="zh-CN"/>
              </w:rPr>
              <w:t>/SRS</w:t>
            </w:r>
            <w:r>
              <w:rPr>
                <w:rFonts w:hint="eastAsia"/>
                <w:sz w:val="20"/>
              </w:rPr>
              <w:t xml:space="preserve"> resources</w:t>
            </w:r>
            <w:r>
              <w:rPr>
                <w:rFonts w:hint="eastAsia"/>
                <w:sz w:val="20"/>
                <w:lang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1150" w:type="dxa"/>
          </w:tcPr>
          <w:p>
            <w:pPr>
              <w:tabs>
                <w:tab w:val="left" w:pos="1276"/>
              </w:tabs>
              <w:snapToGrid w:val="0"/>
              <w:rPr>
                <w:rFonts w:eastAsia="宋体"/>
                <w:sz w:val="20"/>
                <w:szCs w:val="20"/>
              </w:rPr>
            </w:pPr>
            <w:r>
              <w:rPr>
                <w:rFonts w:hint="eastAsia" w:eastAsia="宋体"/>
                <w:sz w:val="20"/>
                <w:szCs w:val="20"/>
              </w:rPr>
              <w:t>MTK</w:t>
            </w:r>
          </w:p>
        </w:tc>
        <w:tc>
          <w:tcPr>
            <w:tcW w:w="8183" w:type="dxa"/>
          </w:tcPr>
          <w:p>
            <w:pPr>
              <w:contextualSpacing/>
              <w:jc w:val="both"/>
              <w:rPr>
                <w:sz w:val="20"/>
                <w:szCs w:val="20"/>
                <w:lang w:eastAsia="ja-JP"/>
              </w:rPr>
            </w:pPr>
            <w:r>
              <w:rPr>
                <w:rFonts w:hint="eastAsia"/>
                <w:sz w:val="20"/>
                <w:szCs w:val="20"/>
              </w:rPr>
              <w:t>Proposal 2-1: From RAN1 point of view, we may support the RSRP/RSRPP reporting based on aggregated resource/PFLs. It is up to RAN4 whether to define the corresponding requirement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1150" w:type="dxa"/>
          </w:tcPr>
          <w:p>
            <w:pPr>
              <w:tabs>
                <w:tab w:val="left" w:pos="1276"/>
              </w:tabs>
              <w:snapToGrid w:val="0"/>
              <w:rPr>
                <w:rFonts w:eastAsia="宋体"/>
                <w:sz w:val="20"/>
                <w:szCs w:val="20"/>
              </w:rPr>
            </w:pPr>
            <w:r>
              <w:rPr>
                <w:rFonts w:hint="eastAsia" w:eastAsia="宋体"/>
                <w:sz w:val="20"/>
                <w:szCs w:val="20"/>
              </w:rPr>
              <w:t>DOCOMO</w:t>
            </w:r>
          </w:p>
        </w:tc>
        <w:tc>
          <w:tcPr>
            <w:tcW w:w="8183" w:type="dxa"/>
          </w:tcPr>
          <w:p>
            <w:pPr>
              <w:spacing w:after="180" w:afterLines="50"/>
              <w:rPr>
                <w:sz w:val="20"/>
                <w:szCs w:val="20"/>
              </w:rPr>
            </w:pPr>
            <w:r>
              <w:rPr>
                <w:rFonts w:hint="eastAsia"/>
                <w:sz w:val="20"/>
                <w:szCs w:val="20"/>
              </w:rPr>
              <w:t xml:space="preserve">Observation 1: </w:t>
            </w:r>
          </w:p>
          <w:p>
            <w:pPr>
              <w:pStyle w:val="139"/>
              <w:numPr>
                <w:ilvl w:val="0"/>
                <w:numId w:val="23"/>
              </w:numPr>
              <w:spacing w:afterLines="50"/>
              <w:rPr>
                <w:sz w:val="20"/>
              </w:rPr>
            </w:pPr>
            <w:r>
              <w:rPr>
                <w:rFonts w:hint="eastAsia"/>
                <w:sz w:val="20"/>
              </w:rPr>
              <w:t>Whether single RSRP/RSRPP is based on aggregated PRS/SRS resources across aggregated carriers or PRS/SRS resource of specific single carrier should be clarified in the specification.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tabs>
                <w:tab w:val="left" w:pos="1276"/>
              </w:tabs>
              <w:snapToGrid w:val="0"/>
              <w:rPr>
                <w:rFonts w:eastAsia="宋体"/>
                <w:sz w:val="20"/>
                <w:szCs w:val="20"/>
              </w:rPr>
            </w:pPr>
            <w:r>
              <w:rPr>
                <w:rFonts w:hint="eastAsia" w:eastAsia="宋体"/>
                <w:sz w:val="20"/>
                <w:szCs w:val="20"/>
              </w:rPr>
              <w:t>Huawei</w:t>
            </w:r>
          </w:p>
        </w:tc>
        <w:tc>
          <w:tcPr>
            <w:tcW w:w="8183" w:type="dxa"/>
          </w:tcPr>
          <w:p>
            <w:pPr>
              <w:rPr>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4</w:t>
            </w:r>
            <w:r>
              <w:rPr>
                <w:rFonts w:hint="eastAsia"/>
                <w:sz w:val="20"/>
                <w:szCs w:val="20"/>
              </w:rPr>
              <w:fldChar w:fldCharType="end"/>
            </w:r>
            <w:r>
              <w:rPr>
                <w:rFonts w:hint="eastAsia"/>
                <w:sz w:val="20"/>
                <w:szCs w:val="20"/>
              </w:rPr>
              <w:t>: For the measurement report of PRS bandwidth aggregation across PFLs, support that single RSRP/RSRPP is based on aggregated PRS resources across aggregated PFLs.</w:t>
            </w:r>
          </w:p>
          <w:p>
            <w:pPr>
              <w:spacing w:before="180" w:beforeLines="50"/>
              <w:rPr>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5</w:t>
            </w:r>
            <w:r>
              <w:rPr>
                <w:rFonts w:hint="eastAsia"/>
                <w:sz w:val="20"/>
                <w:szCs w:val="20"/>
              </w:rPr>
              <w:fldChar w:fldCharType="end"/>
            </w:r>
            <w:r>
              <w:rPr>
                <w:rFonts w:hint="eastAsia"/>
                <w:sz w:val="20"/>
                <w:szCs w:val="20"/>
              </w:rPr>
              <w:t>: For the measurement report of SRS bandwidth aggregation across carriers, support that single RSRP/RSRPP is based on aggregated SRS resources across aggregated carriers.</w:t>
            </w:r>
          </w:p>
          <w:p>
            <w:pPr>
              <w:snapToGrid w:val="0"/>
              <w:ind w:firstLine="231"/>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hint="eastAsia" w:eastAsia="宋体"/>
                <w:sz w:val="20"/>
                <w:szCs w:val="20"/>
              </w:rPr>
              <w:t>OPPO</w:t>
            </w:r>
          </w:p>
        </w:tc>
        <w:tc>
          <w:tcPr>
            <w:tcW w:w="8183" w:type="dxa"/>
          </w:tcPr>
          <w:p>
            <w:pPr>
              <w:pStyle w:val="112"/>
              <w:rPr>
                <w:b w:val="0"/>
                <w:bCs w:val="0"/>
                <w:i w:val="0"/>
                <w:iCs w:val="0"/>
                <w:szCs w:val="20"/>
              </w:rPr>
            </w:pPr>
            <w:bookmarkStart w:id="34" w:name="_Hlk134566293"/>
            <w:bookmarkStart w:id="35" w:name="_Hlk127137836"/>
            <w:r>
              <w:rPr>
                <w:rFonts w:hint="eastAsia"/>
                <w:b w:val="0"/>
                <w:bCs w:val="0"/>
                <w:i w:val="0"/>
                <w:iCs w:val="0"/>
                <w:szCs w:val="20"/>
              </w:rPr>
              <w:t>Proposal 2: For PRS bandwidth aggregation, the RSRP or RSRPP measurement is based on the aggregated PRS resources.</w:t>
            </w:r>
          </w:p>
          <w:bookmarkEnd w:id="34"/>
          <w:bookmarkEnd w:id="35"/>
          <w:p>
            <w:pPr>
              <w:pStyle w:val="112"/>
              <w:rPr>
                <w:rFonts w:eastAsia="Malgun Gothic"/>
                <w:b w:val="0"/>
                <w:bCs w:val="0"/>
                <w:i w:val="0"/>
                <w:iCs w:val="0"/>
                <w:szCs w:val="20"/>
              </w:rPr>
            </w:pPr>
            <w:bookmarkStart w:id="36" w:name="_Hlk142252036"/>
            <w:r>
              <w:rPr>
                <w:rFonts w:hint="eastAsia"/>
                <w:b w:val="0"/>
                <w:bCs w:val="0"/>
                <w:i w:val="0"/>
                <w:iCs w:val="0"/>
                <w:szCs w:val="20"/>
              </w:rPr>
              <w:t xml:space="preserve">Proposal 4: For SRS bandwidth aggregation, the RSRP/RSRPP is based on aggregated SRS resources.  </w:t>
            </w:r>
            <w:bookmarkEnd w:id="36"/>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50" w:type="dxa"/>
          </w:tcPr>
          <w:p>
            <w:pPr>
              <w:tabs>
                <w:tab w:val="left" w:pos="1276"/>
              </w:tabs>
              <w:snapToGrid w:val="0"/>
              <w:rPr>
                <w:sz w:val="20"/>
                <w:szCs w:val="20"/>
                <w:lang w:val="en-GB"/>
              </w:rPr>
            </w:pPr>
            <w:r>
              <w:rPr>
                <w:rFonts w:hint="eastAsia"/>
                <w:sz w:val="20"/>
                <w:szCs w:val="20"/>
                <w:lang w:val="en-GB"/>
              </w:rPr>
              <w:t>InterDigital</w:t>
            </w:r>
          </w:p>
        </w:tc>
        <w:tc>
          <w:tcPr>
            <w:tcW w:w="8183" w:type="dxa"/>
          </w:tcPr>
          <w:p>
            <w:pPr>
              <w:rPr>
                <w:sz w:val="20"/>
                <w:szCs w:val="20"/>
                <w:lang w:val="en-GB"/>
              </w:rPr>
            </w:pPr>
            <w:r>
              <w:rPr>
                <w:rFonts w:hint="eastAsia"/>
                <w:sz w:val="20"/>
                <w:szCs w:val="20"/>
                <w:lang w:val="en-GB"/>
              </w:rPr>
              <w:t>Proposal 3:</w:t>
            </w:r>
            <w:r>
              <w:rPr>
                <w:rFonts w:hint="eastAsia"/>
                <w:sz w:val="20"/>
                <w:szCs w:val="20"/>
              </w:rPr>
              <w:t xml:space="preserve"> If requested by the LMF, single RSRP or RSRPP can be reported for the SRS resources across aggregated carriers</w:t>
            </w:r>
            <w:r>
              <w:rPr>
                <w:rFonts w:hint="eastAsia"/>
                <w:sz w:val="20"/>
                <w:szCs w:val="20"/>
                <w:lang w:val="en-GB"/>
              </w:rPr>
              <w:t xml:space="preserve"> by the gNB</w:t>
            </w:r>
          </w:p>
          <w:p>
            <w:pPr>
              <w:spacing w:before="240"/>
              <w:rPr>
                <w:sz w:val="20"/>
                <w:szCs w:val="20"/>
              </w:rPr>
            </w:pPr>
            <w:r>
              <w:rPr>
                <w:rFonts w:hint="eastAsia"/>
                <w:sz w:val="20"/>
                <w:szCs w:val="20"/>
              </w:rPr>
              <w:t>Proposal 4: If indicated by the LMF, single RSRP or RSRPP is reported  for the PRS resources across aggregated carriers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1150" w:type="dxa"/>
          </w:tcPr>
          <w:p>
            <w:pPr>
              <w:tabs>
                <w:tab w:val="left" w:pos="1276"/>
              </w:tabs>
              <w:snapToGrid w:val="0"/>
              <w:rPr>
                <w:sz w:val="20"/>
                <w:szCs w:val="20"/>
                <w:lang w:val="en-GB"/>
              </w:rPr>
            </w:pPr>
            <w:r>
              <w:rPr>
                <w:rFonts w:hint="eastAsia"/>
                <w:sz w:val="20"/>
                <w:szCs w:val="20"/>
                <w:lang w:val="en-GB"/>
              </w:rPr>
              <w:t>Apple</w:t>
            </w:r>
          </w:p>
        </w:tc>
        <w:tc>
          <w:tcPr>
            <w:tcW w:w="8183" w:type="dxa"/>
          </w:tcPr>
          <w:p>
            <w:pPr>
              <w:jc w:val="both"/>
              <w:rPr>
                <w:sz w:val="20"/>
                <w:szCs w:val="20"/>
              </w:rPr>
            </w:pPr>
            <w:r>
              <w:rPr>
                <w:rFonts w:hint="eastAsia"/>
                <w:sz w:val="20"/>
                <w:szCs w:val="20"/>
              </w:rPr>
              <w:t>Proposal 3: For measurement and feedback with PRS bandwidth aggregation:</w:t>
            </w:r>
          </w:p>
          <w:p>
            <w:pPr>
              <w:pStyle w:val="139"/>
              <w:numPr>
                <w:ilvl w:val="0"/>
                <w:numId w:val="26"/>
              </w:numPr>
              <w:jc w:val="both"/>
              <w:rPr>
                <w:sz w:val="20"/>
              </w:rPr>
            </w:pPr>
            <w:r>
              <w:rPr>
                <w:rFonts w:hint="eastAsia"/>
                <w:sz w:val="20"/>
              </w:rPr>
              <w:t>The RSRP and RSRPP reports may include signaling that indicates if they are measured per PFL, jointly or both.</w:t>
            </w:r>
          </w:p>
          <w:p>
            <w:pPr>
              <w:pStyle w:val="139"/>
              <w:numPr>
                <w:ilvl w:val="1"/>
                <w:numId w:val="26"/>
              </w:numPr>
              <w:jc w:val="both"/>
              <w:rPr>
                <w:sz w:val="20"/>
              </w:rPr>
            </w:pPr>
            <w:r>
              <w:rPr>
                <w:rFonts w:hint="eastAsia"/>
                <w:sz w:val="20"/>
              </w:rPr>
              <w:t>the single RSRP/RSRPP is based on aggregated PRS resources across aggregated PFLs</w:t>
            </w:r>
          </w:p>
          <w:p>
            <w:pPr>
              <w:pStyle w:val="139"/>
              <w:numPr>
                <w:ilvl w:val="0"/>
                <w:numId w:val="26"/>
              </w:numPr>
              <w:jc w:val="both"/>
              <w:rPr>
                <w:sz w:val="20"/>
              </w:rPr>
            </w:pPr>
            <w:r>
              <w:rPr>
                <w:rFonts w:hint="eastAsia"/>
                <w:sz w:val="20"/>
              </w:rPr>
              <w:t xml:space="preserve">For the case when the PRS in one of aggregated PFL is dropped, e.g. because of collision with SSB, the default UE behaviour is to drop positioning measurement in all aggregated PFLs in the same symbol(s). </w:t>
            </w:r>
          </w:p>
          <w:p>
            <w:pPr>
              <w:pStyle w:val="139"/>
              <w:numPr>
                <w:ilvl w:val="0"/>
                <w:numId w:val="26"/>
              </w:numPr>
              <w:jc w:val="both"/>
              <w:rPr>
                <w:sz w:val="20"/>
              </w:rPr>
            </w:pPr>
            <w:r>
              <w:rPr>
                <w:rFonts w:hint="eastAsia"/>
                <w:sz w:val="20"/>
              </w:rPr>
              <w:t xml:space="preserve">To enhance the configuration and measurement for RSTD, the UE may be configured to measure and report, subject to UE capability, up to 4 DL RSTD measurements per pair of  dl-PRS-IDs associated with </w:t>
            </w:r>
            <w:r>
              <w:rPr>
                <w:rFonts w:hint="eastAsia"/>
                <w:color w:val="FF0000"/>
                <w:sz w:val="20"/>
              </w:rPr>
              <w:t xml:space="preserve">a set of aggregated PLFs </w:t>
            </w:r>
            <w:r>
              <w:rPr>
                <w:rFonts w:hint="eastAsia"/>
                <w:sz w:val="20"/>
              </w:rPr>
              <w:t xml:space="preserve">with each measurement between a different pair of DL PRS resources associated with the set of </w:t>
            </w:r>
            <w:r>
              <w:rPr>
                <w:rFonts w:hint="eastAsia"/>
                <w:color w:val="FF0000"/>
                <w:sz w:val="20"/>
              </w:rPr>
              <w:t>a set of aggregated PLFs</w:t>
            </w:r>
            <w:r>
              <w:rPr>
                <w:rFonts w:hint="eastAsia"/>
                <w:sz w:val="20"/>
              </w:rPr>
              <w:t xml:space="preserve"> or DL PRS resource sets associated </w:t>
            </w:r>
            <w:r>
              <w:rPr>
                <w:rFonts w:hint="eastAsia"/>
                <w:color w:val="FF0000"/>
                <w:sz w:val="20"/>
              </w:rPr>
              <w:t xml:space="preserve">a set of aggregated PLFs </w:t>
            </w:r>
            <w:r>
              <w:rPr>
                <w:rFonts w:hint="eastAsia"/>
                <w:sz w:val="20"/>
              </w:rPr>
              <w:t>within the DL PRS configured for those dl-PRS-IDs.</w:t>
            </w:r>
          </w:p>
          <w:p>
            <w:pPr>
              <w:pStyle w:val="139"/>
              <w:numPr>
                <w:ilvl w:val="0"/>
                <w:numId w:val="26"/>
              </w:numPr>
              <w:jc w:val="both"/>
              <w:rPr>
                <w:sz w:val="20"/>
              </w:rPr>
            </w:pPr>
            <w:r>
              <w:rPr>
                <w:rFonts w:hint="eastAsia"/>
                <w:sz w:val="20"/>
              </w:rPr>
              <w:t>The measurement gap pattern may also need to be modified to accommodate the increased measurement requirements.</w:t>
            </w:r>
          </w:p>
          <w:p>
            <w:pPr>
              <w:jc w:val="both"/>
              <w:rPr>
                <w:sz w:val="20"/>
                <w:szCs w:val="20"/>
              </w:rPr>
            </w:pPr>
            <w:r>
              <w:rPr>
                <w:rFonts w:hint="eastAsia"/>
                <w:sz w:val="20"/>
                <w:szCs w:val="20"/>
              </w:rPr>
              <w:t>Proposal 10: For measurement and feedback with SRS bandwidth aggregation:</w:t>
            </w:r>
          </w:p>
          <w:p>
            <w:pPr>
              <w:pStyle w:val="139"/>
              <w:numPr>
                <w:ilvl w:val="0"/>
                <w:numId w:val="26"/>
              </w:numPr>
              <w:snapToGrid w:val="0"/>
              <w:jc w:val="both"/>
              <w:rPr>
                <w:sz w:val="20"/>
              </w:rPr>
            </w:pPr>
            <w:r>
              <w:rPr>
                <w:rFonts w:hint="eastAsia"/>
                <w:sz w:val="20"/>
              </w:rPr>
              <w:t xml:space="preserve">In the measurement report, </w:t>
            </w:r>
            <w:r>
              <w:rPr>
                <w:rFonts w:hint="eastAsia"/>
                <w:sz w:val="20"/>
                <w:lang w:eastAsia="zh-CN"/>
              </w:rPr>
              <w:t>the single RSRP/RSRPP is based on aggregated SRS resources across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tabs>
                <w:tab w:val="left" w:pos="1276"/>
              </w:tabs>
              <w:snapToGrid w:val="0"/>
              <w:rPr>
                <w:sz w:val="20"/>
                <w:szCs w:val="20"/>
                <w:lang w:val="en-GB"/>
              </w:rPr>
            </w:pPr>
            <w:r>
              <w:rPr>
                <w:rFonts w:hint="eastAsia"/>
                <w:sz w:val="20"/>
                <w:szCs w:val="20"/>
                <w:lang w:val="en-GB"/>
              </w:rPr>
              <w:t>Spreadtrum</w:t>
            </w:r>
          </w:p>
        </w:tc>
        <w:tc>
          <w:tcPr>
            <w:tcW w:w="8183" w:type="dxa"/>
          </w:tcPr>
          <w:p>
            <w:pPr>
              <w:rPr>
                <w:sz w:val="20"/>
                <w:szCs w:val="20"/>
              </w:rPr>
            </w:pPr>
            <w:r>
              <w:rPr>
                <w:rFonts w:hint="eastAsia"/>
                <w:sz w:val="20"/>
                <w:szCs w:val="20"/>
              </w:rPr>
              <w:t>Proposal 1: The single RSRP/RSRPP is based on aggregated PRS resources across aggregated PFLs.</w:t>
            </w:r>
          </w:p>
          <w:p>
            <w:pPr>
              <w:rPr>
                <w:sz w:val="20"/>
                <w:szCs w:val="20"/>
              </w:rPr>
            </w:pPr>
            <w:r>
              <w:rPr>
                <w:rFonts w:hint="eastAsia"/>
                <w:sz w:val="20"/>
                <w:szCs w:val="20"/>
              </w:rPr>
              <w:t>Proposal 4: The single RSRP/RSRPP is based on aggregated SRS resources across aggregated 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42" w:hRule="atLeast"/>
        </w:trPr>
        <w:tc>
          <w:tcPr>
            <w:tcW w:w="1150" w:type="dxa"/>
          </w:tcPr>
          <w:p>
            <w:pPr>
              <w:tabs>
                <w:tab w:val="left" w:pos="1276"/>
              </w:tabs>
              <w:snapToGrid w:val="0"/>
              <w:rPr>
                <w:sz w:val="20"/>
                <w:szCs w:val="20"/>
                <w:lang w:val="en-GB"/>
              </w:rPr>
            </w:pPr>
            <w:r>
              <w:rPr>
                <w:rFonts w:hint="eastAsia" w:eastAsia="宋体"/>
                <w:sz w:val="20"/>
                <w:szCs w:val="20"/>
              </w:rPr>
              <w:t>x</w:t>
            </w:r>
            <w:r>
              <w:rPr>
                <w:rFonts w:hint="eastAsia"/>
                <w:sz w:val="20"/>
                <w:szCs w:val="20"/>
                <w:lang w:val="en-GB"/>
              </w:rPr>
              <w:t>iaomi</w:t>
            </w:r>
          </w:p>
        </w:tc>
        <w:tc>
          <w:tcPr>
            <w:tcW w:w="8183" w:type="dxa"/>
          </w:tcPr>
          <w:p>
            <w:pPr>
              <w:pStyle w:val="114"/>
              <w:snapToGrid w:val="0"/>
              <w:spacing w:before="0" w:after="120" w:line="259" w:lineRule="auto"/>
              <w:rPr>
                <w:sz w:val="20"/>
                <w:szCs w:val="20"/>
              </w:rPr>
            </w:pPr>
            <w:r>
              <w:rPr>
                <w:rFonts w:hint="eastAsia"/>
                <w:sz w:val="20"/>
                <w:szCs w:val="20"/>
              </w:rPr>
              <w:t>Proposal 4: PFL aggregation indication can be supported by indicating multiple PRS resource set ID/PRS resource ID, or a link ID in positioning report to indicate the aggregated CCs/PFLs for PRS.</w:t>
            </w:r>
          </w:p>
          <w:p>
            <w:pPr>
              <w:pStyle w:val="114"/>
              <w:snapToGrid w:val="0"/>
              <w:spacing w:before="0" w:after="120" w:line="259" w:lineRule="auto"/>
              <w:rPr>
                <w:sz w:val="20"/>
                <w:szCs w:val="20"/>
              </w:rPr>
            </w:pPr>
            <w:r>
              <w:rPr>
                <w:rFonts w:hint="eastAsia"/>
                <w:sz w:val="20"/>
                <w:szCs w:val="20"/>
              </w:rPr>
              <w:t>Proposal 5: Single RSRP measured based on one PFL with the lowest frequency is reported in a measurement report from UE.</w:t>
            </w:r>
          </w:p>
          <w:p>
            <w:pPr>
              <w:pStyle w:val="114"/>
              <w:snapToGrid w:val="0"/>
              <w:spacing w:before="0" w:after="120" w:line="259" w:lineRule="auto"/>
              <w:rPr>
                <w:sz w:val="20"/>
                <w:szCs w:val="20"/>
              </w:rPr>
            </w:pPr>
            <w:r>
              <w:rPr>
                <w:rFonts w:hint="eastAsia"/>
                <w:sz w:val="20"/>
                <w:szCs w:val="20"/>
              </w:rPr>
              <w:t>Proposal 10: Single RSRP measured based on one carrier with the lowest frequency is reported in a measurement report from TRP.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tabs>
                <w:tab w:val="left" w:pos="1276"/>
              </w:tabs>
              <w:snapToGrid w:val="0"/>
              <w:rPr>
                <w:rFonts w:eastAsia="宋体"/>
                <w:sz w:val="20"/>
                <w:szCs w:val="20"/>
              </w:rPr>
            </w:pPr>
            <w:r>
              <w:rPr>
                <w:rFonts w:hint="eastAsia" w:eastAsia="宋体"/>
                <w:sz w:val="20"/>
                <w:szCs w:val="20"/>
              </w:rPr>
              <w:t>Ruijie network</w:t>
            </w:r>
          </w:p>
        </w:tc>
        <w:tc>
          <w:tcPr>
            <w:tcW w:w="8183" w:type="dxa"/>
          </w:tcPr>
          <w:p>
            <w:pPr>
              <w:rPr>
                <w:sz w:val="20"/>
                <w:szCs w:val="20"/>
              </w:rPr>
            </w:pPr>
            <w:r>
              <w:rPr>
                <w:rFonts w:hint="eastAsia"/>
                <w:sz w:val="20"/>
                <w:szCs w:val="20"/>
              </w:rPr>
              <w:t>Proposal 2: For PRS bandwidth aggregation across PFLs, in a measurement report element, support single RSRP or single RSRPP based on single PFL.</w:t>
            </w:r>
          </w:p>
          <w:p>
            <w:pPr>
              <w:snapToGrid w:val="0"/>
              <w:rPr>
                <w:sz w:val="20"/>
                <w:szCs w:val="20"/>
              </w:rPr>
            </w:pPr>
          </w:p>
        </w:tc>
      </w:tr>
    </w:tbl>
    <w:p>
      <w:pPr>
        <w:snapToGrid w:val="0"/>
        <w:rPr>
          <w:lang w:val="en-GB"/>
        </w:rPr>
      </w:pPr>
    </w:p>
    <w:p>
      <w:pPr>
        <w:snapToGrid w:val="0"/>
        <w:rPr>
          <w:lang w:val="en-GB"/>
        </w:rPr>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39"/>
              <w:numPr>
                <w:ilvl w:val="0"/>
                <w:numId w:val="18"/>
              </w:numPr>
              <w:snapToGrid w:val="0"/>
              <w:spacing w:after="0"/>
              <w:jc w:val="both"/>
              <w:rPr>
                <w:sz w:val="20"/>
              </w:rPr>
            </w:pPr>
            <w:r>
              <w:rPr>
                <w:rFonts w:hint="eastAsia"/>
                <w:sz w:val="20"/>
              </w:rPr>
              <w:t xml:space="preserve">FFS: In a measurement report element, single RSRP or single RSRPP is reported </w:t>
            </w:r>
          </w:p>
          <w:p>
            <w:pPr>
              <w:pStyle w:val="139"/>
              <w:numPr>
                <w:ilvl w:val="0"/>
                <w:numId w:val="18"/>
              </w:numPr>
              <w:snapToGrid w:val="0"/>
              <w:spacing w:after="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39"/>
              <w:numPr>
                <w:ilvl w:val="0"/>
                <w:numId w:val="18"/>
              </w:numPr>
              <w:snapToGrid w:val="0"/>
              <w:spacing w:after="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39"/>
              <w:numPr>
                <w:ilvl w:val="0"/>
                <w:numId w:val="18"/>
              </w:numPr>
              <w:snapToGrid w:val="0"/>
              <w:spacing w:after="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39"/>
              <w:numPr>
                <w:ilvl w:val="1"/>
                <w:numId w:val="18"/>
              </w:numPr>
              <w:snapToGrid w:val="0"/>
              <w:spacing w:after="0"/>
              <w:jc w:val="both"/>
              <w:rPr>
                <w:sz w:val="20"/>
              </w:rPr>
            </w:pPr>
            <w:r>
              <w:rPr>
                <w:rFonts w:hint="eastAsia"/>
                <w:sz w:val="20"/>
              </w:rPr>
              <w:t>FFS RSTD reference is aggregated or not</w:t>
            </w: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39"/>
              <w:numPr>
                <w:ilvl w:val="0"/>
                <w:numId w:val="18"/>
              </w:numPr>
              <w:snapToGrid w:val="0"/>
              <w:spacing w:after="0"/>
              <w:jc w:val="both"/>
              <w:rPr>
                <w:sz w:val="20"/>
              </w:rPr>
            </w:pPr>
            <w:r>
              <w:rPr>
                <w:rFonts w:hint="eastAsia"/>
                <w:sz w:val="20"/>
              </w:rPr>
              <w:t>FFS: Single RSRP or RSRPP is reported for the SRS resources across aggregated carriers</w:t>
            </w:r>
          </w:p>
          <w:p>
            <w:pPr>
              <w:pStyle w:val="139"/>
              <w:numPr>
                <w:ilvl w:val="0"/>
                <w:numId w:val="18"/>
              </w:numPr>
              <w:snapToGrid w:val="0"/>
              <w:spacing w:after="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b/>
                <w:bCs/>
                <w:sz w:val="20"/>
                <w:szCs w:val="20"/>
              </w:rPr>
            </w:pPr>
          </w:p>
          <w:p>
            <w:pPr>
              <w:snapToGrid w:val="0"/>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sz w:val="20"/>
                <w:szCs w:val="20"/>
              </w:rPr>
              <w:t>For PRS bandwidth aggregation across PFLs, in a measurement report element, support</w:t>
            </w:r>
          </w:p>
          <w:p>
            <w:pPr>
              <w:pStyle w:val="193"/>
              <w:numPr>
                <w:ilvl w:val="0"/>
                <w:numId w:val="27"/>
              </w:numPr>
              <w:snapToGrid w:val="0"/>
              <w:spacing w:before="0" w:beforeAutospacing="0" w:after="0"/>
              <w:textAlignment w:val="baseline"/>
              <w:rPr>
                <w:sz w:val="20"/>
                <w:szCs w:val="20"/>
              </w:rPr>
            </w:pPr>
            <w:r>
              <w:rPr>
                <w:rFonts w:hint="eastAsia"/>
                <w:sz w:val="20"/>
                <w:szCs w:val="20"/>
              </w:rPr>
              <w:t xml:space="preserve">Single RSRP or single RSRPP </w:t>
            </w:r>
          </w:p>
          <w:p>
            <w:pPr>
              <w:pStyle w:val="193"/>
              <w:numPr>
                <w:ilvl w:val="1"/>
                <w:numId w:val="27"/>
              </w:numPr>
              <w:snapToGrid w:val="0"/>
              <w:spacing w:before="0" w:beforeAutospacing="0" w:after="0"/>
              <w:textAlignment w:val="baseline"/>
              <w:rPr>
                <w:sz w:val="20"/>
                <w:szCs w:val="20"/>
              </w:rPr>
            </w:pPr>
            <w:r>
              <w:rPr>
                <w:rFonts w:hint="eastAsia"/>
                <w:sz w:val="20"/>
                <w:szCs w:val="20"/>
              </w:rPr>
              <w:t>FFS: the single RSRP/RSRPP is based on aggregated PRS resources across aggregated PFLs</w:t>
            </w:r>
          </w:p>
          <w:p>
            <w:pPr>
              <w:pStyle w:val="193"/>
              <w:numPr>
                <w:ilvl w:val="0"/>
                <w:numId w:val="27"/>
              </w:numPr>
              <w:snapToGrid w:val="0"/>
              <w:spacing w:before="0" w:beforeAutospacing="0" w:after="0"/>
              <w:textAlignment w:val="baseline"/>
              <w:rPr>
                <w:sz w:val="20"/>
                <w:szCs w:val="20"/>
              </w:rPr>
            </w:pPr>
            <w:r>
              <w:rPr>
                <w:rFonts w:hint="eastAsia"/>
                <w:sz w:val="20"/>
                <w:szCs w:val="20"/>
              </w:rPr>
              <w:t xml:space="preserve">The aggregated reference RSTD </w:t>
            </w:r>
          </w:p>
          <w:p>
            <w:pPr>
              <w:pStyle w:val="193"/>
              <w:numPr>
                <w:ilvl w:val="0"/>
                <w:numId w:val="27"/>
              </w:numPr>
              <w:snapToGrid w:val="0"/>
              <w:spacing w:before="0" w:beforeAutospacing="0" w:after="0"/>
              <w:textAlignment w:val="baseline"/>
              <w:rPr>
                <w:sz w:val="20"/>
                <w:szCs w:val="20"/>
              </w:rPr>
            </w:pPr>
            <w:r>
              <w:rPr>
                <w:rFonts w:hint="eastAsia"/>
                <w:sz w:val="20"/>
                <w:szCs w:val="20"/>
              </w:rPr>
              <w:t xml:space="preserve">The used </w:t>
            </w:r>
            <w:bookmarkStart w:id="37" w:name="OLE_LINK38"/>
            <w:r>
              <w:rPr>
                <w:rFonts w:hint="eastAsia"/>
                <w:sz w:val="20"/>
                <w:szCs w:val="20"/>
              </w:rPr>
              <w:t>PRS resource set IDs for the aggregated measurement</w:t>
            </w:r>
            <w:bookmarkEnd w:id="37"/>
            <w:r>
              <w:rPr>
                <w:rFonts w:hint="eastAsia"/>
                <w:sz w:val="20"/>
                <w:szCs w:val="20"/>
              </w:rPr>
              <w:t xml:space="preserve"> which are shared for RSRP/RSRPP and/or timing measurement results</w:t>
            </w:r>
          </w:p>
          <w:p>
            <w:pPr>
              <w:pStyle w:val="139"/>
              <w:snapToGrid w:val="0"/>
              <w:spacing w:after="0"/>
              <w:ind w:left="0"/>
              <w:jc w:val="both"/>
              <w:textAlignment w:val="auto"/>
              <w:rPr>
                <w:bCs/>
                <w:sz w:val="20"/>
              </w:rPr>
            </w:pPr>
          </w:p>
          <w:p>
            <w:pPr>
              <w:pStyle w:val="114"/>
              <w:snapToGrid w:val="0"/>
              <w:spacing w:before="0" w:after="0"/>
              <w:rPr>
                <w:sz w:val="20"/>
                <w:szCs w:val="20"/>
                <w:u w:val="single"/>
              </w:rPr>
            </w:pPr>
            <w:r>
              <w:rPr>
                <w:rFonts w:hint="eastAsia"/>
                <w:b/>
                <w:bCs/>
                <w:sz w:val="20"/>
                <w:szCs w:val="20"/>
                <w:u w:val="single"/>
              </w:rPr>
              <w:t>Agreement</w:t>
            </w:r>
          </w:p>
          <w:p>
            <w:pPr>
              <w:snapToGrid w:val="0"/>
              <w:rPr>
                <w:rFonts w:eastAsia="宋体"/>
                <w:sz w:val="20"/>
                <w:szCs w:val="20"/>
              </w:rPr>
            </w:pPr>
            <w:r>
              <w:rPr>
                <w:rFonts w:hint="eastAsia"/>
                <w:sz w:val="20"/>
                <w:szCs w:val="20"/>
              </w:rPr>
              <w:t xml:space="preserve">For </w:t>
            </w:r>
            <w:r>
              <w:rPr>
                <w:rFonts w:hint="eastAsia" w:eastAsia="宋体"/>
                <w:sz w:val="20"/>
                <w:szCs w:val="20"/>
              </w:rPr>
              <w:t>S</w:t>
            </w:r>
            <w:r>
              <w:rPr>
                <w:rFonts w:hint="eastAsia"/>
                <w:sz w:val="20"/>
                <w:szCs w:val="20"/>
              </w:rPr>
              <w:t xml:space="preserve">RS bandwidth aggregation across </w:t>
            </w:r>
            <w:r>
              <w:rPr>
                <w:rFonts w:hint="eastAsia" w:eastAsia="宋体"/>
                <w:sz w:val="20"/>
                <w:szCs w:val="20"/>
              </w:rPr>
              <w:t>carriers</w:t>
            </w:r>
            <w:r>
              <w:rPr>
                <w:rFonts w:hint="eastAsia"/>
                <w:sz w:val="20"/>
                <w:szCs w:val="20"/>
              </w:rPr>
              <w:t>, support</w:t>
            </w:r>
          </w:p>
          <w:p>
            <w:pPr>
              <w:pStyle w:val="193"/>
              <w:numPr>
                <w:ilvl w:val="0"/>
                <w:numId w:val="28"/>
              </w:numPr>
              <w:snapToGrid w:val="0"/>
              <w:spacing w:before="0" w:beforeAutospacing="0" w:after="0"/>
              <w:textAlignment w:val="baseline"/>
              <w:rPr>
                <w:sz w:val="20"/>
                <w:szCs w:val="20"/>
              </w:rPr>
            </w:pPr>
            <w:r>
              <w:rPr>
                <w:rFonts w:hint="eastAsia"/>
                <w:sz w:val="20"/>
                <w:szCs w:val="20"/>
              </w:rPr>
              <w:t>Single RSRP or RSRPP is reported</w:t>
            </w:r>
          </w:p>
          <w:p>
            <w:pPr>
              <w:pStyle w:val="193"/>
              <w:numPr>
                <w:ilvl w:val="1"/>
                <w:numId w:val="28"/>
              </w:numPr>
              <w:snapToGrid w:val="0"/>
              <w:spacing w:before="0" w:beforeAutospacing="0" w:after="0"/>
              <w:textAlignment w:val="baseline"/>
              <w:rPr>
                <w:sz w:val="20"/>
                <w:szCs w:val="20"/>
              </w:rPr>
            </w:pPr>
            <w:r>
              <w:rPr>
                <w:rFonts w:hint="eastAsia"/>
                <w:sz w:val="20"/>
                <w:szCs w:val="20"/>
              </w:rPr>
              <w:t xml:space="preserve">FFS: </w:t>
            </w:r>
            <w:bookmarkStart w:id="38" w:name="OLE_LINK37"/>
            <w:r>
              <w:rPr>
                <w:rFonts w:hint="eastAsia"/>
                <w:sz w:val="20"/>
                <w:szCs w:val="20"/>
              </w:rPr>
              <w:t>the single RSRP/RSRPP is based on aggregated SRS resources across aggregated carriers</w:t>
            </w:r>
            <w:bookmarkEnd w:id="38"/>
          </w:p>
          <w:p>
            <w:pPr>
              <w:pStyle w:val="193"/>
              <w:numPr>
                <w:ilvl w:val="0"/>
                <w:numId w:val="28"/>
              </w:numPr>
              <w:snapToGrid w:val="0"/>
              <w:spacing w:before="0" w:beforeAutospacing="0" w:after="0"/>
              <w:textAlignment w:val="baseline"/>
              <w:rPr>
                <w:sz w:val="20"/>
                <w:szCs w:val="20"/>
              </w:rPr>
            </w:pPr>
            <w:r>
              <w:rPr>
                <w:rFonts w:hint="eastAsia"/>
                <w:sz w:val="20"/>
                <w:szCs w:val="20"/>
              </w:rPr>
              <w:t>The used SRS resource IDs for the aggregated measurement are shared for RSRP/RSRPP and/or timing measurement results</w:t>
            </w:r>
          </w:p>
          <w:p>
            <w:pPr>
              <w:snapToGrid w:val="0"/>
              <w:jc w:val="both"/>
              <w:rPr>
                <w:sz w:val="20"/>
                <w:szCs w:val="20"/>
              </w:rPr>
            </w:pPr>
          </w:p>
        </w:tc>
      </w:tr>
    </w:tbl>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hint="eastAsia" w:eastAsia="宋体"/>
          <w:bCs/>
          <w:sz w:val="20"/>
          <w:szCs w:val="20"/>
        </w:rPr>
        <w:t xml:space="preserve"> </w:t>
      </w:r>
    </w:p>
    <w:p>
      <w:pPr>
        <w:snapToGrid w:val="0"/>
        <w:spacing w:before="120" w:after="120"/>
        <w:jc w:val="both"/>
        <w:rPr>
          <w:rFonts w:eastAsia="宋体"/>
          <w:sz w:val="20"/>
          <w:szCs w:val="20"/>
        </w:rPr>
      </w:pPr>
      <w:r>
        <w:rPr>
          <w:rFonts w:hint="eastAsia" w:eastAsia="宋体"/>
          <w:sz w:val="20"/>
          <w:szCs w:val="20"/>
        </w:rPr>
        <w:t xml:space="preserve">With regard to the FFS, i.e. whether </w:t>
      </w:r>
      <w:r>
        <w:rPr>
          <w:sz w:val="20"/>
          <w:szCs w:val="20"/>
        </w:rPr>
        <w:t>the single RSRP/RSRPP is based on aggregated SRS resources across aggregated carriers</w:t>
      </w:r>
      <w:r>
        <w:rPr>
          <w:rFonts w:hint="eastAsia" w:eastAsia="宋体"/>
          <w:sz w:val="20"/>
          <w:szCs w:val="20"/>
        </w:rPr>
        <w:t>, companies</w:t>
      </w:r>
      <w:r>
        <w:rPr>
          <w:rFonts w:eastAsia="宋体"/>
          <w:sz w:val="20"/>
          <w:szCs w:val="20"/>
        </w:rPr>
        <w:t>’</w:t>
      </w:r>
      <w:r>
        <w:rPr>
          <w:rFonts w:hint="eastAsia" w:eastAsia="宋体"/>
          <w:sz w:val="20"/>
          <w:szCs w:val="20"/>
        </w:rPr>
        <w:t xml:space="preserve"> views are summaries below. </w:t>
      </w:r>
    </w:p>
    <w:p>
      <w:pPr>
        <w:pStyle w:val="193"/>
        <w:numPr>
          <w:ilvl w:val="0"/>
          <w:numId w:val="28"/>
        </w:numPr>
        <w:snapToGrid w:val="0"/>
        <w:spacing w:after="0"/>
        <w:textAlignment w:val="baseline"/>
        <w:rPr>
          <w:rFonts w:cs="Times"/>
          <w:sz w:val="20"/>
          <w:szCs w:val="20"/>
        </w:rPr>
      </w:pPr>
      <w:bookmarkStart w:id="39" w:name="OLE_LINK39"/>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 or single 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3"/>
        <w:numPr>
          <w:ilvl w:val="1"/>
          <w:numId w:val="28"/>
        </w:numPr>
        <w:snapToGrid w:val="0"/>
        <w:spacing w:after="0"/>
        <w:textAlignment w:val="baseline"/>
        <w:rPr>
          <w:rFonts w:cs="Times"/>
          <w:sz w:val="20"/>
          <w:szCs w:val="20"/>
        </w:rPr>
      </w:pPr>
      <w:r>
        <w:rPr>
          <w:rFonts w:cs="Times"/>
          <w:sz w:val="20"/>
          <w:szCs w:val="20"/>
        </w:rPr>
        <w:t>Qualcomm</w:t>
      </w:r>
      <w:r>
        <w:rPr>
          <w:rFonts w:hint="eastAsia" w:eastAsia="宋体" w:cs="Times"/>
          <w:sz w:val="20"/>
          <w:szCs w:val="20"/>
        </w:rPr>
        <w:t>, CMCC</w:t>
      </w:r>
    </w:p>
    <w:p>
      <w:pPr>
        <w:pStyle w:val="193"/>
        <w:numPr>
          <w:ilvl w:val="0"/>
          <w:numId w:val="28"/>
        </w:numPr>
        <w:snapToGrid w:val="0"/>
        <w:spacing w:after="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3"/>
        <w:numPr>
          <w:ilvl w:val="1"/>
          <w:numId w:val="28"/>
        </w:numPr>
        <w:snapToGrid w:val="0"/>
        <w:spacing w:after="0"/>
        <w:textAlignment w:val="baseline"/>
        <w:rPr>
          <w:rFonts w:cs="Times"/>
          <w:sz w:val="20"/>
          <w:szCs w:val="20"/>
        </w:rPr>
      </w:pPr>
      <w:r>
        <w:rPr>
          <w:rFonts w:hint="eastAsia" w:eastAsia="宋体" w:cs="Times"/>
          <w:sz w:val="20"/>
          <w:szCs w:val="20"/>
        </w:rPr>
        <w:t xml:space="preserve">Huawei, Ericsson, LG, Apple, OPPO, MTK, InterDigital, Spreadtrum, </w:t>
      </w:r>
      <w:r>
        <w:rPr>
          <w:rFonts w:cs="Times"/>
          <w:sz w:val="20"/>
          <w:szCs w:val="20"/>
        </w:rPr>
        <w:t>ZTE</w:t>
      </w:r>
    </w:p>
    <w:p>
      <w:pPr>
        <w:pStyle w:val="193"/>
        <w:numPr>
          <w:ilvl w:val="0"/>
          <w:numId w:val="28"/>
        </w:numPr>
        <w:snapToGrid w:val="0"/>
        <w:spacing w:after="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3"/>
        <w:numPr>
          <w:ilvl w:val="1"/>
          <w:numId w:val="28"/>
        </w:numPr>
        <w:snapToGrid w:val="0"/>
        <w:spacing w:after="0"/>
        <w:textAlignment w:val="baseline"/>
        <w:rPr>
          <w:rFonts w:eastAsia="宋体"/>
          <w:sz w:val="20"/>
          <w:szCs w:val="20"/>
        </w:rPr>
      </w:pPr>
      <w:r>
        <w:rPr>
          <w:rFonts w:hint="eastAsia" w:eastAsia="宋体"/>
          <w:sz w:val="20"/>
          <w:szCs w:val="20"/>
        </w:rPr>
        <w:t>Xiaomi, Ruijie network</w:t>
      </w:r>
      <w:bookmarkEnd w:id="39"/>
    </w:p>
    <w:p>
      <w:pPr>
        <w:snapToGrid w:val="0"/>
        <w:jc w:val="both"/>
        <w:rPr>
          <w:rFonts w:eastAsia="宋体"/>
          <w:sz w:val="20"/>
          <w:szCs w:val="20"/>
        </w:rPr>
      </w:pPr>
    </w:p>
    <w:p>
      <w:pPr>
        <w:snapToGrid w:val="0"/>
        <w:jc w:val="both"/>
        <w:rPr>
          <w:rFonts w:eastAsia="宋体"/>
          <w:sz w:val="20"/>
          <w:szCs w:val="20"/>
        </w:rPr>
      </w:pPr>
      <w:r>
        <w:rPr>
          <w:rFonts w:hint="eastAsia" w:eastAsia="宋体"/>
          <w:sz w:val="20"/>
          <w:szCs w:val="20"/>
        </w:rPr>
        <w:t xml:space="preserve">vivo and xiaomi further suggests that </w:t>
      </w:r>
      <w:r>
        <w:rPr>
          <w:rFonts w:eastAsia="宋体"/>
          <w:sz w:val="20"/>
          <w:szCs w:val="20"/>
        </w:rPr>
        <w:t>the PRS resource set ID</w:t>
      </w:r>
      <w:r>
        <w:rPr>
          <w:rFonts w:hint="eastAsia" w:eastAsia="宋体"/>
          <w:sz w:val="20"/>
          <w:szCs w:val="20"/>
        </w:rPr>
        <w:t>(</w:t>
      </w:r>
      <w:r>
        <w:rPr>
          <w:rFonts w:eastAsia="宋体"/>
          <w:sz w:val="20"/>
          <w:szCs w:val="20"/>
        </w:rPr>
        <w:t xml:space="preserve">s) can be used to inform UE by LMF (or inform LMF by NG-RAN) that PRS resources from which two or three PFLs are linked. </w:t>
      </w:r>
      <w:r>
        <w:rPr>
          <w:rFonts w:hint="eastAsia" w:eastAsia="宋体"/>
          <w:sz w:val="20"/>
          <w:szCs w:val="20"/>
        </w:rPr>
        <w:t xml:space="preserve"> FL thinks it has been agreed to use </w:t>
      </w:r>
      <w:r>
        <w:rPr>
          <w:sz w:val="20"/>
          <w:szCs w:val="20"/>
        </w:rPr>
        <w:t>PRS resource set IDs</w:t>
      </w:r>
      <w:r>
        <w:rPr>
          <w:rFonts w:hint="eastAsia" w:eastAsia="宋体"/>
          <w:sz w:val="20"/>
          <w:szCs w:val="20"/>
        </w:rPr>
        <w:t xml:space="preserve"> or SRS resource IDs</w:t>
      </w:r>
      <w:r>
        <w:rPr>
          <w:sz w:val="20"/>
          <w:szCs w:val="20"/>
        </w:rPr>
        <w:t xml:space="preserve"> for the aggregated measurement</w:t>
      </w:r>
      <w:r>
        <w:rPr>
          <w:rFonts w:hint="eastAsia" w:eastAsia="宋体"/>
          <w:sz w:val="20"/>
          <w:szCs w:val="20"/>
        </w:rPr>
        <w:t>. The further detailed signaling design can be up to RAN2.</w:t>
      </w:r>
    </w:p>
    <w:p>
      <w:pPr>
        <w:snapToGrid w:val="0"/>
        <w:jc w:val="both"/>
        <w:rPr>
          <w:rFonts w:eastAsia="宋体"/>
          <w:sz w:val="20"/>
          <w:szCs w:val="20"/>
        </w:rPr>
      </w:pPr>
    </w:p>
    <w:p>
      <w:pPr>
        <w:snapToGrid w:val="0"/>
        <w:jc w:val="both"/>
        <w:rPr>
          <w:sz w:val="20"/>
          <w:szCs w:val="20"/>
        </w:rPr>
      </w:pPr>
      <w:r>
        <w:rPr>
          <w:rFonts w:hint="eastAsia" w:eastAsia="宋体"/>
          <w:sz w:val="20"/>
          <w:szCs w:val="20"/>
        </w:rPr>
        <w:t xml:space="preserve">Also, vivo suggests to introduce </w:t>
      </w:r>
      <w:r>
        <w:rPr>
          <w:rFonts w:eastAsia="宋体"/>
          <w:sz w:val="20"/>
          <w:szCs w:val="20"/>
        </w:rPr>
        <w:t>an indicator to distinguish single FFT/IFFT or multiple FFT/IFFT operation in</w:t>
      </w:r>
      <w:r>
        <w:rPr>
          <w:rFonts w:hint="eastAsia" w:eastAsia="宋体"/>
          <w:sz w:val="20"/>
          <w:szCs w:val="20"/>
        </w:rPr>
        <w:t xml:space="preserve"> </w:t>
      </w:r>
      <w:r>
        <w:rPr>
          <w:rFonts w:eastAsia="宋体"/>
          <w:sz w:val="20"/>
          <w:szCs w:val="20"/>
        </w:rPr>
        <w:t>bandwidth aggregation measurement report</w:t>
      </w:r>
      <w:r>
        <w:rPr>
          <w:rFonts w:hint="eastAsia" w:eastAsia="宋体"/>
          <w:sz w:val="20"/>
          <w:szCs w:val="20"/>
        </w:rPr>
        <w:t>. This has been discussed several meetings, it seemed unacceptable since RAN4 had agreed it is UE implementation issue.</w:t>
      </w:r>
    </w:p>
    <w:p>
      <w:pPr>
        <w:snapToGrid w:val="0"/>
        <w:jc w:val="both"/>
        <w:rPr>
          <w:b/>
          <w:bCs/>
          <w:sz w:val="20"/>
        </w:rPr>
      </w:pPr>
    </w:p>
    <w:p>
      <w:pPr>
        <w:snapToGrid w:val="0"/>
        <w:jc w:val="both"/>
        <w:rPr>
          <w:rFonts w:ascii="Times" w:hAnsi="Times" w:cs="Times"/>
          <w:b/>
          <w:bCs/>
          <w:sz w:val="20"/>
        </w:rPr>
      </w:pPr>
    </w:p>
    <w:p>
      <w:pPr>
        <w:snapToGrid w:val="0"/>
        <w:jc w:val="both"/>
        <w:rPr>
          <w:rFonts w:ascii="Times" w:hAnsi="Times" w:cs="Times"/>
          <w:b/>
          <w:bCs/>
          <w:sz w:val="20"/>
        </w:rPr>
      </w:pPr>
    </w:p>
    <w:p>
      <w:pPr>
        <w:snapToGrid w:val="0"/>
        <w:jc w:val="both"/>
        <w:rPr>
          <w:rFonts w:ascii="Times" w:hAnsi="Times" w:eastAsia="宋体" w:cs="Times"/>
          <w:b/>
          <w:bCs/>
          <w:sz w:val="20"/>
          <w:szCs w:val="20"/>
        </w:rPr>
      </w:pPr>
      <w:bookmarkStart w:id="40" w:name="OLE_LINK28"/>
      <w:r>
        <w:rPr>
          <w:rFonts w:ascii="Times" w:hAnsi="Times" w:cs="Times"/>
          <w:b/>
          <w:bCs/>
          <w:sz w:val="20"/>
          <w:szCs w:val="20"/>
        </w:rPr>
        <w:t xml:space="preserve">Proposal </w:t>
      </w:r>
      <w:r>
        <w:rPr>
          <w:rFonts w:ascii="Times" w:hAnsi="Times" w:eastAsia="宋体" w:cs="Times"/>
          <w:b/>
          <w:bCs/>
          <w:sz w:val="20"/>
          <w:szCs w:val="20"/>
        </w:rPr>
        <w:t>4</w:t>
      </w:r>
      <w:r>
        <w:rPr>
          <w:rFonts w:ascii="Times" w:hAnsi="Times" w:cs="Times"/>
          <w:b/>
          <w:bCs/>
          <w:sz w:val="20"/>
          <w:szCs w:val="20"/>
        </w:rPr>
        <w:t>-1</w:t>
      </w:r>
      <w:r>
        <w:rPr>
          <w:rFonts w:ascii="Times" w:hAnsi="Times" w:eastAsia="宋体" w:cs="Times"/>
          <w:b/>
          <w:bCs/>
          <w:sz w:val="20"/>
          <w:szCs w:val="20"/>
        </w:rPr>
        <w:t xml:space="preserve"> for down-selection</w:t>
      </w:r>
    </w:p>
    <w:p>
      <w:pPr>
        <w:snapToGrid w:val="0"/>
        <w:jc w:val="both"/>
        <w:rPr>
          <w:rFonts w:ascii="Times" w:hAnsi="Times" w:eastAsia="宋体" w:cs="Times"/>
          <w:sz w:val="20"/>
        </w:rPr>
      </w:pPr>
      <w:r>
        <w:rPr>
          <w:rFonts w:ascii="Times" w:hAnsi="Times" w:cs="Times"/>
          <w:sz w:val="20"/>
        </w:rPr>
        <w:t>In a measurement report element</w:t>
      </w:r>
      <w:r>
        <w:rPr>
          <w:rFonts w:ascii="Times" w:hAnsi="Times" w:eastAsia="宋体" w:cs="Times"/>
          <w:sz w:val="20"/>
        </w:rPr>
        <w:t xml:space="preserve"> </w:t>
      </w:r>
      <w:r>
        <w:rPr>
          <w:rFonts w:ascii="Times" w:hAnsi="Times" w:eastAsia="宋体" w:cs="Times"/>
          <w:sz w:val="20"/>
          <w:szCs w:val="20"/>
        </w:rPr>
        <w:t>f</w:t>
      </w:r>
      <w:r>
        <w:rPr>
          <w:rFonts w:ascii="Times" w:hAnsi="Times" w:cs="Times"/>
          <w:sz w:val="20"/>
          <w:szCs w:val="20"/>
        </w:rPr>
        <w:t>or PRS</w:t>
      </w:r>
      <w:r>
        <w:rPr>
          <w:rFonts w:ascii="Times" w:hAnsi="Times" w:eastAsia="宋体" w:cs="Times"/>
          <w:sz w:val="20"/>
          <w:szCs w:val="20"/>
        </w:rPr>
        <w:t>/SRS</w:t>
      </w:r>
      <w:r>
        <w:rPr>
          <w:rFonts w:ascii="Times" w:hAnsi="Times" w:cs="Times"/>
          <w:sz w:val="20"/>
          <w:szCs w:val="20"/>
        </w:rPr>
        <w:t xml:space="preserve"> bandwidth aggregation across PFLs</w:t>
      </w:r>
      <w:r>
        <w:rPr>
          <w:rFonts w:ascii="Times" w:hAnsi="Times" w:eastAsia="宋体" w:cs="Times"/>
          <w:sz w:val="20"/>
          <w:szCs w:val="20"/>
        </w:rPr>
        <w:t>/carriers</w:t>
      </w:r>
      <w:r>
        <w:rPr>
          <w:rFonts w:ascii="Times" w:hAnsi="Times" w:cs="Times"/>
          <w:sz w:val="20"/>
        </w:rPr>
        <w:t xml:space="preserve">, </w:t>
      </w:r>
      <w:r>
        <w:rPr>
          <w:rFonts w:ascii="Times" w:hAnsi="Times" w:eastAsia="宋体" w:cs="Times"/>
          <w:sz w:val="20"/>
        </w:rPr>
        <w:t xml:space="preserve">the </w:t>
      </w:r>
      <w:r>
        <w:rPr>
          <w:rFonts w:ascii="Times" w:hAnsi="Times" w:cs="Times"/>
          <w:sz w:val="20"/>
        </w:rPr>
        <w:t xml:space="preserve">single RSRP or single RSRPP is </w:t>
      </w:r>
      <w:r>
        <w:rPr>
          <w:rFonts w:ascii="Times" w:hAnsi="Times" w:eastAsia="宋体" w:cs="Times"/>
          <w:sz w:val="20"/>
        </w:rPr>
        <w:t xml:space="preserve"> </w:t>
      </w:r>
    </w:p>
    <w:p>
      <w:pPr>
        <w:pStyle w:val="193"/>
        <w:numPr>
          <w:ilvl w:val="0"/>
          <w:numId w:val="28"/>
        </w:numPr>
        <w:snapToGrid w:val="0"/>
        <w:spacing w:before="0" w:beforeAutospacing="0" w:after="0"/>
        <w:textAlignment w:val="baseline"/>
        <w:rPr>
          <w:rFonts w:ascii="Times" w:hAnsi="Times" w:cs="Times"/>
          <w:sz w:val="20"/>
          <w:szCs w:val="20"/>
        </w:rPr>
      </w:pPr>
      <w:r>
        <w:rPr>
          <w:rFonts w:ascii="Times" w:hAnsi="Times" w:cs="Times"/>
          <w:sz w:val="20"/>
          <w:szCs w:val="20"/>
        </w:rPr>
        <w:t xml:space="preserve">Alt.1: </w:t>
      </w:r>
      <w:r>
        <w:rPr>
          <w:rFonts w:ascii="Times" w:hAnsi="Times" w:eastAsia="宋体" w:cs="Times"/>
          <w:sz w:val="20"/>
          <w:szCs w:val="20"/>
        </w:rPr>
        <w:t xml:space="preserve">up to </w:t>
      </w:r>
      <w:r>
        <w:rPr>
          <w:rFonts w:ascii="Times" w:hAnsi="Times" w:cs="Times"/>
          <w:sz w:val="20"/>
          <w:szCs w:val="20"/>
        </w:rPr>
        <w:t>UE</w:t>
      </w:r>
      <w:r>
        <w:rPr>
          <w:rFonts w:ascii="Times" w:hAnsi="Times" w:eastAsia="宋体" w:cs="Times"/>
          <w:sz w:val="20"/>
          <w:szCs w:val="20"/>
        </w:rPr>
        <w:t>/TRP</w:t>
      </w:r>
      <w:r>
        <w:rPr>
          <w:rFonts w:ascii="Times" w:hAnsi="Times" w:cs="Times"/>
          <w:sz w:val="20"/>
          <w:szCs w:val="20"/>
        </w:rPr>
        <w:t xml:space="preserve"> implementation whether the single RSRP or single RSRPP is based on </w:t>
      </w:r>
      <w:r>
        <w:rPr>
          <w:rFonts w:ascii="Times" w:hAnsi="Times" w:eastAsia="宋体" w:cs="Times"/>
          <w:sz w:val="20"/>
          <w:szCs w:val="20"/>
        </w:rPr>
        <w:t xml:space="preserve">the </w:t>
      </w:r>
      <w:r>
        <w:rPr>
          <w:rFonts w:ascii="Times" w:hAnsi="Times" w:cs="Times"/>
          <w:sz w:val="20"/>
          <w:szCs w:val="20"/>
        </w:rPr>
        <w:t>aggregated PRS</w:t>
      </w:r>
      <w:r>
        <w:rPr>
          <w:rFonts w:ascii="Times" w:hAnsi="Times" w:eastAsia="宋体" w:cs="Times"/>
          <w:sz w:val="20"/>
          <w:szCs w:val="20"/>
        </w:rPr>
        <w:t>/SRS</w:t>
      </w:r>
      <w:r>
        <w:rPr>
          <w:rFonts w:ascii="Times" w:hAnsi="Times" w:cs="Times"/>
          <w:sz w:val="20"/>
          <w:szCs w:val="20"/>
        </w:rPr>
        <w:t xml:space="preserve"> resources </w:t>
      </w:r>
    </w:p>
    <w:p>
      <w:pPr>
        <w:pStyle w:val="193"/>
        <w:numPr>
          <w:ilvl w:val="0"/>
          <w:numId w:val="28"/>
        </w:numPr>
        <w:snapToGrid w:val="0"/>
        <w:spacing w:before="0" w:beforeAutospacing="0" w:after="0"/>
        <w:textAlignment w:val="baseline"/>
        <w:rPr>
          <w:rFonts w:ascii="Times" w:hAnsi="Times" w:cs="Times"/>
          <w:sz w:val="20"/>
          <w:szCs w:val="20"/>
        </w:rPr>
      </w:pPr>
      <w:r>
        <w:rPr>
          <w:rFonts w:ascii="Times" w:hAnsi="Times" w:cs="Times"/>
          <w:sz w:val="20"/>
          <w:szCs w:val="20"/>
        </w:rPr>
        <w:t xml:space="preserve">Alt.2: </w:t>
      </w:r>
      <w:r>
        <w:rPr>
          <w:rFonts w:ascii="Times" w:hAnsi="Times" w:eastAsia="宋体" w:cs="Times"/>
          <w:sz w:val="20"/>
          <w:szCs w:val="20"/>
        </w:rPr>
        <w:t>B</w:t>
      </w:r>
      <w:r>
        <w:rPr>
          <w:rFonts w:ascii="Times" w:hAnsi="Times" w:cs="Times"/>
          <w:sz w:val="20"/>
          <w:szCs w:val="20"/>
        </w:rPr>
        <w:t>ased on the aggregated PRS</w:t>
      </w:r>
      <w:r>
        <w:rPr>
          <w:rFonts w:ascii="Times" w:hAnsi="Times" w:eastAsia="宋体" w:cs="Times"/>
          <w:sz w:val="20"/>
          <w:szCs w:val="20"/>
        </w:rPr>
        <w:t>/SRS</w:t>
      </w:r>
      <w:r>
        <w:rPr>
          <w:rFonts w:ascii="Times" w:hAnsi="Times" w:cs="Times"/>
          <w:sz w:val="20"/>
          <w:szCs w:val="20"/>
        </w:rPr>
        <w:t xml:space="preserve"> resources</w:t>
      </w:r>
    </w:p>
    <w:p>
      <w:pPr>
        <w:pStyle w:val="193"/>
        <w:numPr>
          <w:ilvl w:val="0"/>
          <w:numId w:val="28"/>
        </w:numPr>
        <w:snapToGrid w:val="0"/>
        <w:spacing w:before="0" w:beforeAutospacing="0" w:after="0"/>
        <w:textAlignment w:val="baseline"/>
        <w:rPr>
          <w:rFonts w:ascii="Times" w:hAnsi="Times" w:cs="Times"/>
          <w:sz w:val="20"/>
          <w:szCs w:val="20"/>
        </w:rPr>
      </w:pPr>
      <w:r>
        <w:rPr>
          <w:rFonts w:ascii="Times" w:hAnsi="Times" w:cs="Times"/>
          <w:sz w:val="20"/>
          <w:szCs w:val="20"/>
        </w:rPr>
        <w:t>Alt.3: Based on one of aggregated PFLs/carriers, e.g. with the lowest frequency is reported in a measurement report from UE</w:t>
      </w:r>
    </w:p>
    <w:p>
      <w:pPr>
        <w:pStyle w:val="193"/>
        <w:snapToGrid w:val="0"/>
        <w:spacing w:before="0" w:beforeAutospacing="0" w:after="0"/>
        <w:ind w:left="360"/>
        <w:textAlignment w:val="baseline"/>
        <w:rPr>
          <w:rFonts w:ascii="Times" w:hAnsi="Times" w:cs="Times" w:eastAsiaTheme="minorEastAsia"/>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vivo</w:t>
            </w:r>
          </w:p>
        </w:tc>
        <w:tc>
          <w:tcPr>
            <w:tcW w:w="7508" w:type="dxa"/>
            <w:vAlign w:val="center"/>
          </w:tcPr>
          <w:p>
            <w:pPr>
              <w:snapToGrid w:val="0"/>
              <w:rPr>
                <w:rFonts w:eastAsiaTheme="minorEastAsia"/>
                <w:bCs/>
                <w:iCs/>
                <w:sz w:val="18"/>
                <w:szCs w:val="18"/>
              </w:rPr>
            </w:pPr>
            <w:r>
              <w:rPr>
                <w:rFonts w:hint="eastAsia" w:eastAsiaTheme="minorEastAsia"/>
                <w:bCs/>
                <w:iCs/>
                <w:sz w:val="18"/>
                <w:szCs w:val="18"/>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OPPO</w:t>
            </w:r>
          </w:p>
        </w:tc>
        <w:tc>
          <w:tcPr>
            <w:tcW w:w="7508" w:type="dxa"/>
            <w:vAlign w:val="center"/>
          </w:tcPr>
          <w:p>
            <w:pPr>
              <w:snapToGrid w:val="0"/>
              <w:rPr>
                <w:rFonts w:eastAsiaTheme="minorEastAsia"/>
                <w:bCs/>
                <w:iCs/>
                <w:sz w:val="18"/>
                <w:szCs w:val="18"/>
              </w:rPr>
            </w:pPr>
            <w:r>
              <w:rPr>
                <w:rFonts w:hint="eastAsia" w:eastAsiaTheme="minorEastAsia"/>
                <w:bCs/>
                <w:iCs/>
                <w:sz w:val="18"/>
                <w:szCs w:val="18"/>
              </w:rPr>
              <w:t>Support Alt2.</w:t>
            </w:r>
          </w:p>
          <w:p>
            <w:pPr>
              <w:snapToGrid w:val="0"/>
              <w:rPr>
                <w:rFonts w:eastAsiaTheme="minorEastAsia"/>
                <w:bCs/>
                <w:iCs/>
                <w:sz w:val="18"/>
                <w:szCs w:val="18"/>
              </w:rPr>
            </w:pPr>
            <w:r>
              <w:rPr>
                <w:rFonts w:hint="eastAsia" w:eastAsiaTheme="minorEastAsia"/>
                <w:bCs/>
                <w:iCs/>
                <w:sz w:val="18"/>
                <w:szCs w:val="18"/>
              </w:rPr>
              <w:t>The measurement results shall be aligned. If the RSTD or multi-RTT report is measured from aggegrated PRS, the corresponding RSRP shall be based on same aggregated PRS too.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Qualcomm</w:t>
            </w:r>
          </w:p>
        </w:tc>
        <w:tc>
          <w:tcPr>
            <w:tcW w:w="7508" w:type="dxa"/>
            <w:vAlign w:val="center"/>
          </w:tcPr>
          <w:p>
            <w:pPr>
              <w:snapToGrid w:val="0"/>
              <w:rPr>
                <w:rFonts w:eastAsiaTheme="minorEastAsia"/>
                <w:bCs/>
                <w:iCs/>
                <w:sz w:val="18"/>
                <w:szCs w:val="18"/>
              </w:rPr>
            </w:pPr>
            <w:r>
              <w:rPr>
                <w:rFonts w:hint="eastAsia" w:eastAsiaTheme="minorEastAsia"/>
                <w:bCs/>
                <w:iCs/>
                <w:sz w:val="18"/>
                <w:szCs w:val="18"/>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Spreadtrum</w:t>
            </w:r>
          </w:p>
        </w:tc>
        <w:tc>
          <w:tcPr>
            <w:tcW w:w="7508" w:type="dxa"/>
            <w:vAlign w:val="center"/>
          </w:tcPr>
          <w:p>
            <w:pPr>
              <w:snapToGrid w:val="0"/>
              <w:rPr>
                <w:rFonts w:eastAsiaTheme="minorEastAsia"/>
                <w:bCs/>
                <w:iCs/>
                <w:sz w:val="18"/>
                <w:szCs w:val="18"/>
              </w:rPr>
            </w:pPr>
            <w:r>
              <w:rPr>
                <w:rFonts w:hint="eastAsia" w:eastAsiaTheme="minorEastAsia"/>
                <w:bCs/>
                <w:iCs/>
                <w:sz w:val="18"/>
                <w:szCs w:val="18"/>
              </w:rPr>
              <w:t>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Xiaomi</w:t>
            </w:r>
          </w:p>
        </w:tc>
        <w:tc>
          <w:tcPr>
            <w:tcW w:w="7508" w:type="dxa"/>
            <w:vAlign w:val="center"/>
          </w:tcPr>
          <w:p>
            <w:pPr>
              <w:snapToGrid w:val="0"/>
              <w:rPr>
                <w:rFonts w:eastAsiaTheme="minorEastAsia"/>
                <w:bCs/>
                <w:iCs/>
                <w:sz w:val="18"/>
                <w:szCs w:val="18"/>
              </w:rPr>
            </w:pPr>
            <w:r>
              <w:rPr>
                <w:rFonts w:hint="eastAsia" w:eastAsiaTheme="minorEastAsia"/>
                <w:bCs/>
                <w:iCs/>
                <w:sz w:val="18"/>
                <w:szCs w:val="18"/>
              </w:rPr>
              <w:t>Suppor the proposal and prefer Alt 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Huawei, HiSilicon</w:t>
            </w:r>
          </w:p>
        </w:tc>
        <w:tc>
          <w:tcPr>
            <w:tcW w:w="7508" w:type="dxa"/>
            <w:vAlign w:val="center"/>
          </w:tcPr>
          <w:p>
            <w:pPr>
              <w:snapToGrid w:val="0"/>
              <w:rPr>
                <w:rFonts w:eastAsiaTheme="minorEastAsia"/>
                <w:bCs/>
                <w:iCs/>
                <w:sz w:val="18"/>
                <w:szCs w:val="18"/>
              </w:rPr>
            </w:pPr>
            <w:r>
              <w:rPr>
                <w:rFonts w:hint="eastAsia" w:eastAsiaTheme="minorEastAsia"/>
                <w:bCs/>
                <w:iCs/>
                <w:sz w:val="18"/>
                <w:szCs w:val="18"/>
              </w:rPr>
              <w:t>Support Alt. 2. Can leave it with Alt.1.</w:t>
            </w:r>
          </w:p>
        </w:tc>
      </w:tr>
      <w:bookmarkEnd w:id="4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CATT</w:t>
            </w:r>
          </w:p>
        </w:tc>
        <w:tc>
          <w:tcPr>
            <w:tcW w:w="7508" w:type="dxa"/>
          </w:tcPr>
          <w:p>
            <w:pPr>
              <w:snapToGrid w:val="0"/>
              <w:spacing w:before="120" w:after="120"/>
              <w:contextualSpacing/>
              <w:rPr>
                <w:rFonts w:eastAsiaTheme="minorEastAsia"/>
                <w:iCs/>
                <w:sz w:val="18"/>
                <w:szCs w:val="18"/>
              </w:rPr>
            </w:pPr>
            <w:r>
              <w:rPr>
                <w:rFonts w:hint="eastAsia" w:eastAsiaTheme="minorEastAsia"/>
                <w:iCs/>
                <w:sz w:val="18"/>
                <w:szCs w:val="18"/>
              </w:rPr>
              <w:t>For 1</w:t>
            </w:r>
            <w:r>
              <w:rPr>
                <w:rFonts w:hint="eastAsia" w:eastAsiaTheme="minorEastAsia"/>
                <w:iCs/>
                <w:sz w:val="18"/>
                <w:szCs w:val="18"/>
                <w:vertAlign w:val="superscript"/>
              </w:rPr>
              <w:t>st</w:t>
            </w:r>
            <w:r>
              <w:rPr>
                <w:rFonts w:hint="eastAsia" w:eastAsiaTheme="minorEastAsia"/>
                <w:iCs/>
                <w:sz w:val="18"/>
                <w:szCs w:val="18"/>
              </w:rPr>
              <w:t xml:space="preserve"> topic: Alt. 3. </w:t>
            </w:r>
          </w:p>
          <w:p>
            <w:pPr>
              <w:snapToGrid w:val="0"/>
              <w:rPr>
                <w:rFonts w:eastAsiaTheme="minorEastAsia"/>
                <w:bCs/>
                <w:iCs/>
                <w:sz w:val="18"/>
                <w:szCs w:val="18"/>
              </w:rPr>
            </w:pPr>
            <w:r>
              <w:rPr>
                <w:rFonts w:hint="eastAsia" w:eastAsiaTheme="minorEastAsia"/>
                <w:iCs/>
                <w:sz w:val="18"/>
                <w:szCs w:val="18"/>
              </w:rPr>
              <w:t>For 2</w:t>
            </w:r>
            <w:r>
              <w:rPr>
                <w:rFonts w:hint="eastAsia" w:eastAsiaTheme="minorEastAsia"/>
                <w:iCs/>
                <w:sz w:val="18"/>
                <w:szCs w:val="18"/>
                <w:vertAlign w:val="superscript"/>
              </w:rPr>
              <w:t>nd</w:t>
            </w:r>
            <w:r>
              <w:rPr>
                <w:rFonts w:hint="eastAsia" w:eastAsiaTheme="minorEastAsia"/>
                <w:iCs/>
                <w:sz w:val="18"/>
                <w:szCs w:val="18"/>
              </w:rPr>
              <w:t xml:space="preserve"> topic: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NTT DOCOMO</w:t>
            </w:r>
          </w:p>
        </w:tc>
        <w:tc>
          <w:tcPr>
            <w:tcW w:w="7508" w:type="dxa"/>
            <w:vAlign w:val="center"/>
          </w:tcPr>
          <w:p>
            <w:pPr>
              <w:snapToGrid w:val="0"/>
              <w:spacing w:before="120" w:after="120"/>
              <w:contextualSpacing/>
              <w:rPr>
                <w:rFonts w:eastAsiaTheme="minorEastAsia"/>
                <w:iCs/>
                <w:sz w:val="18"/>
                <w:szCs w:val="18"/>
              </w:rPr>
            </w:pPr>
            <w:r>
              <w:rPr>
                <w:rFonts w:hint="eastAsia" w:eastAsia="MS Mincho"/>
                <w:bCs/>
                <w:iCs/>
                <w:sz w:val="18"/>
                <w:szCs w:val="18"/>
                <w:lang w:eastAsia="ja-JP"/>
              </w:rPr>
              <w:t>Support Alt.2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 xml:space="preserve">Samsung </w:t>
            </w:r>
          </w:p>
        </w:tc>
        <w:tc>
          <w:tcPr>
            <w:tcW w:w="7508" w:type="dxa"/>
          </w:tcPr>
          <w:p>
            <w:pPr>
              <w:snapToGrid w:val="0"/>
              <w:rPr>
                <w:rFonts w:eastAsiaTheme="minorEastAsia"/>
                <w:iCs/>
                <w:sz w:val="18"/>
                <w:szCs w:val="18"/>
              </w:rPr>
            </w:pPr>
            <w:r>
              <w:rPr>
                <w:rFonts w:hint="eastAsia" w:eastAsiaTheme="minorEastAsia"/>
                <w:bCs/>
                <w:iCs/>
                <w:sz w:val="18"/>
                <w:szCs w:val="18"/>
              </w:rPr>
              <w:t>Alt.2. Since a single RSTD or single Rx-Tx time difference is reported for the PRS/SRS resources across aggregated PFLs/CCs, it is beneficial to report a single RSRP or single RSRPP based on the aggregated PRS/SRS resources. Otherwise, it is meaningless to report the RSRP/RSRPP.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InterDigital</w:t>
            </w:r>
          </w:p>
        </w:tc>
        <w:tc>
          <w:tcPr>
            <w:tcW w:w="7508" w:type="dxa"/>
          </w:tcPr>
          <w:p>
            <w:pPr>
              <w:snapToGrid w:val="0"/>
              <w:rPr>
                <w:rFonts w:eastAsiaTheme="minorEastAsia"/>
                <w:bCs/>
                <w:iCs/>
                <w:sz w:val="18"/>
                <w:szCs w:val="18"/>
              </w:rPr>
            </w:pPr>
            <w:r>
              <w:rPr>
                <w:rFonts w:hint="eastAsia" w:eastAsiaTheme="minorEastAsia"/>
                <w:iCs/>
                <w:sz w:val="18"/>
                <w:szCs w:val="18"/>
              </w:rPr>
              <w:t>We support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Ericsson</w:t>
            </w:r>
          </w:p>
        </w:tc>
        <w:tc>
          <w:tcPr>
            <w:tcW w:w="7508" w:type="dxa"/>
          </w:tcPr>
          <w:p>
            <w:pPr>
              <w:snapToGrid w:val="0"/>
              <w:rPr>
                <w:rFonts w:eastAsiaTheme="minorEastAsia"/>
                <w:iCs/>
                <w:sz w:val="18"/>
                <w:szCs w:val="18"/>
              </w:rPr>
            </w:pPr>
            <w:r>
              <w:rPr>
                <w:rFonts w:hint="eastAsia" w:eastAsiaTheme="minorEastAsia"/>
                <w:iCs/>
                <w:sz w:val="18"/>
                <w:szCs w:val="18"/>
              </w:rPr>
              <w:t>Support Alt 2.  Similar view as OPPO.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Malgun Gothic"/>
                <w:bCs/>
                <w:iCs/>
                <w:sz w:val="18"/>
                <w:szCs w:val="18"/>
                <w:lang w:eastAsia="ko-KR"/>
              </w:rPr>
              <w:t>LGE</w:t>
            </w:r>
          </w:p>
        </w:tc>
        <w:tc>
          <w:tcPr>
            <w:tcW w:w="7508" w:type="dxa"/>
          </w:tcPr>
          <w:p>
            <w:pPr>
              <w:snapToGrid w:val="0"/>
              <w:rPr>
                <w:rFonts w:eastAsiaTheme="minorEastAsia"/>
                <w:iCs/>
                <w:sz w:val="18"/>
                <w:szCs w:val="18"/>
              </w:rPr>
            </w:pPr>
            <w:r>
              <w:rPr>
                <w:rFonts w:hint="eastAsia" w:eastAsia="Malgun Gothic"/>
                <w:iCs/>
                <w:sz w:val="18"/>
                <w:szCs w:val="18"/>
                <w:lang w:eastAsia="ko-KR"/>
              </w:rPr>
              <w:t xml:space="preserve">Alt 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Malgun Gothic"/>
                <w:bCs/>
                <w:iCs/>
                <w:sz w:val="18"/>
                <w:szCs w:val="18"/>
                <w:lang w:eastAsia="ko-KR"/>
              </w:rPr>
            </w:pPr>
            <w:r>
              <w:rPr>
                <w:rFonts w:hint="eastAsia" w:eastAsia="Malgun Gothic"/>
                <w:bCs/>
                <w:iCs/>
                <w:sz w:val="18"/>
                <w:szCs w:val="18"/>
                <w:lang w:eastAsia="ko-KR"/>
              </w:rPr>
              <w:t>Nokia/NSB</w:t>
            </w:r>
          </w:p>
        </w:tc>
        <w:tc>
          <w:tcPr>
            <w:tcW w:w="7508" w:type="dxa"/>
          </w:tcPr>
          <w:p>
            <w:pPr>
              <w:snapToGrid w:val="0"/>
              <w:rPr>
                <w:rFonts w:eastAsia="Malgun Gothic"/>
                <w:iCs/>
                <w:sz w:val="18"/>
                <w:szCs w:val="18"/>
                <w:lang w:eastAsia="ko-KR"/>
              </w:rPr>
            </w:pPr>
            <w:r>
              <w:rPr>
                <w:rFonts w:hint="eastAsia" w:eastAsia="Malgun Gothic"/>
                <w:iCs/>
                <w:sz w:val="18"/>
                <w:szCs w:val="18"/>
                <w:lang w:eastAsia="ko-KR"/>
              </w:rPr>
              <w:t>Alt. 1</w:t>
            </w:r>
          </w:p>
        </w:tc>
      </w:tr>
    </w:tbl>
    <w:p>
      <w:pPr>
        <w:tabs>
          <w:tab w:val="left" w:pos="1534"/>
        </w:tabs>
        <w:snapToGrid w:val="0"/>
        <w:rPr>
          <w:lang w:val="en-GB"/>
        </w:rPr>
      </w:pPr>
      <w:r>
        <w:rPr>
          <w:lang w:val="en-GB"/>
        </w:rPr>
        <w:tab/>
      </w: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Location request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hint="eastAsia" w:eastAsia="宋体"/>
                <w:sz w:val="20"/>
                <w:szCs w:val="20"/>
              </w:rPr>
              <w:t>Qualcomm</w:t>
            </w:r>
          </w:p>
        </w:tc>
        <w:tc>
          <w:tcPr>
            <w:tcW w:w="8221" w:type="dxa"/>
          </w:tcPr>
          <w:p>
            <w:pPr>
              <w:snapToGrid w:val="0"/>
              <w:spacing w:before="120" w:after="120"/>
              <w:rPr>
                <w:sz w:val="20"/>
                <w:szCs w:val="20"/>
              </w:rPr>
            </w:pPr>
            <w:r>
              <w:rPr>
                <w:rFonts w:hint="eastAsia"/>
                <w:sz w:val="20"/>
                <w:szCs w:val="20"/>
              </w:rPr>
              <w:t>Proposal 5: With regards to the signaling in the location information request message, introduce:</w:t>
            </w:r>
          </w:p>
          <w:p>
            <w:pPr>
              <w:pStyle w:val="193"/>
              <w:numPr>
                <w:ilvl w:val="0"/>
                <w:numId w:val="29"/>
              </w:numPr>
              <w:snapToGrid w:val="0"/>
              <w:spacing w:before="120" w:beforeAutospacing="0" w:after="120"/>
              <w:rPr>
                <w:sz w:val="20"/>
                <w:szCs w:val="20"/>
              </w:rPr>
            </w:pPr>
            <w:r>
              <w:rPr>
                <w:rFonts w:hint="eastAsia"/>
                <w:sz w:val="20"/>
                <w:szCs w:val="20"/>
              </w:rPr>
              <w:t>A request for the maximum number of aggregated UE-Rx-Tx / RSTD measurements for different DL-PRS Resources or DL-PRS Resource Sets per TRP</w:t>
            </w:r>
          </w:p>
          <w:p>
            <w:pPr>
              <w:pStyle w:val="193"/>
              <w:numPr>
                <w:ilvl w:val="0"/>
                <w:numId w:val="29"/>
              </w:numPr>
              <w:snapToGrid w:val="0"/>
              <w:spacing w:before="120" w:beforeAutospacing="0" w:after="120"/>
              <w:rPr>
                <w:sz w:val="20"/>
                <w:szCs w:val="20"/>
              </w:rPr>
            </w:pPr>
            <w:r>
              <w:rPr>
                <w:rFonts w:hint="eastAsia"/>
                <w:sz w:val="20"/>
                <w:szCs w:val="20"/>
              </w:rPr>
              <w:t>A request for reduced sample processing for aggregated measurements</w:t>
            </w:r>
          </w:p>
          <w:p>
            <w:pPr>
              <w:pStyle w:val="193"/>
              <w:numPr>
                <w:ilvl w:val="0"/>
                <w:numId w:val="29"/>
              </w:numPr>
              <w:snapToGrid w:val="0"/>
              <w:spacing w:before="120" w:beforeAutospacing="0" w:after="120"/>
              <w:rPr>
                <w:sz w:val="20"/>
                <w:szCs w:val="20"/>
              </w:rPr>
            </w:pPr>
            <w:r>
              <w:rPr>
                <w:rFonts w:hint="eastAsia"/>
                <w:sz w:val="20"/>
                <w:szCs w:val="20"/>
              </w:rPr>
              <w:t>A request for lower Rx beam sweeping factor for FR2 that is applicable for aggregated measurements</w:t>
            </w:r>
          </w:p>
          <w:p>
            <w:pPr>
              <w:pStyle w:val="193"/>
              <w:numPr>
                <w:ilvl w:val="0"/>
                <w:numId w:val="29"/>
              </w:numPr>
              <w:snapToGrid w:val="0"/>
              <w:spacing w:before="120" w:beforeAutospacing="0" w:after="120"/>
              <w:rPr>
                <w:sz w:val="20"/>
                <w:szCs w:val="20"/>
              </w:rPr>
            </w:pPr>
            <w:r>
              <w:rPr>
                <w:rFonts w:hint="eastAsia"/>
                <w:sz w:val="20"/>
                <w:szCs w:val="20"/>
              </w:rPr>
              <w:t>A request for configuring the UE to measure the same aggregated DL-PRS Resources of a TRP with N different UE Rx TEGs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hint="eastAsia" w:eastAsia="宋体"/>
                <w:sz w:val="20"/>
                <w:szCs w:val="20"/>
              </w:rPr>
              <w:t>Huawei</w:t>
            </w:r>
          </w:p>
        </w:tc>
        <w:tc>
          <w:tcPr>
            <w:tcW w:w="8221" w:type="dxa"/>
          </w:tcPr>
          <w:p>
            <w:pPr>
              <w:snapToGrid w:val="0"/>
              <w:spacing w:before="120" w:after="120"/>
              <w:rPr>
                <w:sz w:val="20"/>
                <w:szCs w:val="20"/>
              </w:rPr>
            </w:pPr>
            <w:r>
              <w:rPr>
                <w:rFonts w:hint="eastAsia"/>
                <w:i/>
                <w:sz w:val="20"/>
                <w:szCs w:val="20"/>
              </w:rPr>
              <w:t xml:space="preserve">Proposal </w:t>
            </w:r>
            <w:r>
              <w:rPr>
                <w:rFonts w:hint="eastAsia"/>
                <w:i/>
                <w:sz w:val="20"/>
                <w:szCs w:val="20"/>
              </w:rPr>
              <w:fldChar w:fldCharType="begin"/>
            </w:r>
            <w:r>
              <w:rPr>
                <w:rFonts w:hint="eastAsia"/>
                <w:i/>
                <w:sz w:val="20"/>
                <w:szCs w:val="20"/>
              </w:rPr>
              <w:instrText xml:space="preserve"> SEQ Proposal \* ARABIC \* MERGEFORMAT </w:instrText>
            </w:r>
            <w:r>
              <w:rPr>
                <w:rFonts w:hint="eastAsia"/>
                <w:i/>
                <w:sz w:val="20"/>
                <w:szCs w:val="20"/>
              </w:rPr>
              <w:fldChar w:fldCharType="separate"/>
            </w:r>
            <w:r>
              <w:rPr>
                <w:rFonts w:hint="eastAsia"/>
                <w:i/>
                <w:sz w:val="20"/>
                <w:szCs w:val="20"/>
              </w:rPr>
              <w:t>3</w:t>
            </w:r>
            <w:r>
              <w:rPr>
                <w:rFonts w:hint="eastAsia"/>
                <w:i/>
                <w:sz w:val="20"/>
                <w:szCs w:val="20"/>
              </w:rPr>
              <w:fldChar w:fldCharType="end"/>
            </w:r>
            <w:r>
              <w:rPr>
                <w:rFonts w:hint="eastAsia"/>
                <w:i/>
                <w:sz w:val="20"/>
                <w:szCs w:val="20"/>
              </w:rPr>
              <w:t xml:space="preserve">: For PRS/SRS bandwidth aggregation, </w:t>
            </w:r>
            <w:bookmarkStart w:id="41" w:name="OLE_LINK41"/>
            <w:r>
              <w:rPr>
                <w:rFonts w:hint="eastAsia"/>
                <w:i/>
                <w:sz w:val="20"/>
                <w:szCs w:val="20"/>
              </w:rPr>
              <w:t>the new ReportingGranularityfactor should also support k={-3,-4,-5,-6} in addition to {-1,-2} when the LMF requests the aggregated measurements</w:t>
            </w:r>
            <w:bookmarkEnd w:id="41"/>
            <w:r>
              <w:rPr>
                <w:rFonts w:hint="eastAsia"/>
                <w:i/>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hint="eastAsia" w:eastAsia="宋体"/>
                <w:sz w:val="20"/>
                <w:szCs w:val="20"/>
              </w:rPr>
              <w:t>CATT</w:t>
            </w:r>
          </w:p>
        </w:tc>
        <w:tc>
          <w:tcPr>
            <w:tcW w:w="8221" w:type="dxa"/>
          </w:tcPr>
          <w:p>
            <w:pPr>
              <w:tabs>
                <w:tab w:val="left" w:pos="1416"/>
              </w:tabs>
              <w:snapToGrid w:val="0"/>
              <w:spacing w:before="120" w:after="120"/>
              <w:jc w:val="both"/>
              <w:rPr>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MERGEFORMAT </w:instrText>
            </w:r>
            <w:r>
              <w:rPr>
                <w:rFonts w:hint="eastAsia"/>
                <w:sz w:val="20"/>
                <w:szCs w:val="20"/>
              </w:rPr>
              <w:fldChar w:fldCharType="separate"/>
            </w:r>
            <w:r>
              <w:rPr>
                <w:rFonts w:hint="eastAsia"/>
                <w:sz w:val="20"/>
                <w:szCs w:val="20"/>
              </w:rPr>
              <w:t>2</w:t>
            </w:r>
            <w:r>
              <w:rPr>
                <w:rFonts w:hint="eastAsia"/>
                <w:sz w:val="20"/>
                <w:szCs w:val="20"/>
              </w:rPr>
              <w:fldChar w:fldCharType="end"/>
            </w:r>
            <w:r>
              <w:rPr>
                <w:rFonts w:hint="eastAsia" w:eastAsiaTheme="minorEastAsia"/>
                <w:sz w:val="20"/>
                <w:szCs w:val="20"/>
              </w:rPr>
              <w:t>:</w:t>
            </w:r>
            <w:r>
              <w:rPr>
                <w:rFonts w:hint="eastAsia"/>
                <w:sz w:val="20"/>
                <w:szCs w:val="20"/>
              </w:rPr>
              <w:t xml:space="preserve">  No need to support any k value smaller than -2 for ReportingGranularityfactor</w:t>
            </w:r>
            <w:r>
              <w:rPr>
                <w:rFonts w:hint="eastAsia"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hint="eastAsia" w:eastAsia="宋体"/>
                <w:sz w:val="20"/>
                <w:szCs w:val="20"/>
              </w:rPr>
              <w:t>Nokia</w:t>
            </w:r>
          </w:p>
        </w:tc>
        <w:tc>
          <w:tcPr>
            <w:tcW w:w="8221" w:type="dxa"/>
          </w:tcPr>
          <w:p>
            <w:pPr>
              <w:snapToGrid w:val="0"/>
              <w:spacing w:before="120" w:after="120"/>
              <w:rPr>
                <w:sz w:val="20"/>
                <w:szCs w:val="20"/>
              </w:rPr>
            </w:pPr>
            <w:r>
              <w:rPr>
                <w:rFonts w:hint="eastAsia"/>
                <w:sz w:val="20"/>
                <w:szCs w:val="20"/>
              </w:rPr>
              <w:t xml:space="preserve">Proposal 2: </w:t>
            </w:r>
            <w:bookmarkStart w:id="42" w:name="OLE_LINK5"/>
            <w:r>
              <w:rPr>
                <w:rFonts w:hint="eastAsia"/>
                <w:sz w:val="20"/>
                <w:szCs w:val="20"/>
              </w:rPr>
              <w:t>LMF can requests UE to report the used DL PRS resource set IDs for the aggregated measurement in a measurement report element</w:t>
            </w:r>
            <w:bookmarkEnd w:id="42"/>
            <w:r>
              <w:rPr>
                <w:rFonts w:hint="eastAsia"/>
                <w:sz w:val="20"/>
                <w:szCs w:val="20"/>
              </w:rPr>
              <w:t>.</w:t>
            </w:r>
          </w:p>
          <w:p>
            <w:pPr>
              <w:snapToGrid w:val="0"/>
              <w:spacing w:before="120" w:after="120"/>
              <w:rPr>
                <w:sz w:val="20"/>
                <w:szCs w:val="20"/>
              </w:rPr>
            </w:pPr>
            <w:r>
              <w:rPr>
                <w:rFonts w:hint="eastAsia"/>
                <w:sz w:val="20"/>
                <w:szCs w:val="20"/>
              </w:rPr>
              <w:t>Proposal 6: RAN1 supports that the LMF requests gNB to report CC IDs to indicate which CCs are used to perform the joint measurement.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hint="eastAsia" w:eastAsia="宋体"/>
                <w:sz w:val="20"/>
                <w:szCs w:val="20"/>
              </w:rPr>
              <w:t>Apple</w:t>
            </w:r>
          </w:p>
        </w:tc>
        <w:tc>
          <w:tcPr>
            <w:tcW w:w="8221" w:type="dxa"/>
          </w:tcPr>
          <w:p>
            <w:pPr>
              <w:tabs>
                <w:tab w:val="left" w:pos="640"/>
              </w:tabs>
              <w:snapToGrid w:val="0"/>
              <w:spacing w:before="120" w:after="120"/>
              <w:jc w:val="both"/>
              <w:rPr>
                <w:sz w:val="20"/>
                <w:szCs w:val="20"/>
              </w:rPr>
            </w:pPr>
            <w:r>
              <w:rPr>
                <w:rFonts w:hint="eastAsia"/>
                <w:i/>
                <w:iCs/>
                <w:sz w:val="20"/>
                <w:szCs w:val="20"/>
              </w:rPr>
              <w:t>Proposal 2: A UE should be able to indicate if it requires contiguous PRS resources for bandwidth aggregation in the case of UE-based positioning.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hint="eastAsia" w:eastAsia="宋体"/>
                <w:sz w:val="20"/>
                <w:szCs w:val="20"/>
              </w:rPr>
              <w:t>ZTE</w:t>
            </w:r>
          </w:p>
        </w:tc>
        <w:tc>
          <w:tcPr>
            <w:tcW w:w="8221" w:type="dxa"/>
          </w:tcPr>
          <w:p>
            <w:pPr>
              <w:pStyle w:val="139"/>
              <w:snapToGrid w:val="0"/>
              <w:spacing w:before="120" w:after="120"/>
              <w:ind w:left="0"/>
              <w:jc w:val="both"/>
              <w:rPr>
                <w:sz w:val="20"/>
              </w:rPr>
            </w:pPr>
            <w:bookmarkStart w:id="43" w:name="OLE_LINK25"/>
            <w:r>
              <w:rPr>
                <w:rFonts w:hint="eastAsia"/>
                <w:i/>
                <w:iCs/>
                <w:sz w:val="20"/>
                <w:lang w:eastAsia="zh-CN"/>
              </w:rPr>
              <w:t xml:space="preserve">Proposal 3: </w:t>
            </w:r>
            <w:bookmarkStart w:id="44" w:name="OLE_LINK42"/>
            <w:r>
              <w:rPr>
                <w:rFonts w:hint="eastAsia"/>
                <w:i/>
                <w:iCs/>
                <w:sz w:val="20"/>
                <w:lang w:eastAsia="zh-CN"/>
              </w:rPr>
              <w:t>Support LMF to request/indicate gNB which two or three carriers to be used for performing joint measurement</w:t>
            </w:r>
            <w:bookmarkEnd w:id="44"/>
            <w:r>
              <w:rPr>
                <w:rFonts w:hint="eastAsia"/>
                <w:i/>
                <w:iCs/>
                <w:sz w:val="20"/>
                <w:lang w:eastAsia="zh-CN"/>
              </w:rPr>
              <w:t>.</w:t>
            </w:r>
            <w:bookmarkEnd w:id="43"/>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rPr>
                <w:rFonts w:eastAsia="宋体"/>
                <w:b/>
                <w:bCs/>
                <w:sz w:val="20"/>
                <w:szCs w:val="20"/>
                <w:u w:val="single"/>
              </w:rPr>
            </w:pPr>
            <w:r>
              <w:rPr>
                <w:rFonts w:hint="eastAsia"/>
                <w:b/>
                <w:bCs/>
                <w:sz w:val="20"/>
                <w:szCs w:val="20"/>
                <w:u w:val="single"/>
              </w:rPr>
              <w:t>Agreement</w:t>
            </w:r>
          </w:p>
          <w:p>
            <w:pPr>
              <w:snapToGrid w:val="0"/>
              <w:rPr>
                <w:rFonts w:eastAsia="Malgun Gothic"/>
                <w:bCs/>
                <w:sz w:val="20"/>
                <w:szCs w:val="20"/>
              </w:rPr>
            </w:pPr>
            <w:r>
              <w:rPr>
                <w:rFonts w:hint="eastAsia" w:eastAsia="宋体"/>
                <w:bCs/>
                <w:sz w:val="20"/>
                <w:szCs w:val="20"/>
              </w:rPr>
              <w:t>For PRS bandwidth aggregation, w</w:t>
            </w:r>
            <w:r>
              <w:rPr>
                <w:rFonts w:hint="eastAsia"/>
                <w:bCs/>
                <w:sz w:val="20"/>
                <w:szCs w:val="20"/>
              </w:rPr>
              <w:t>ith regards to the signaling in the location information request message, introduce the following:</w:t>
            </w:r>
          </w:p>
          <w:p>
            <w:pPr>
              <w:pStyle w:val="193"/>
              <w:numPr>
                <w:ilvl w:val="0"/>
                <w:numId w:val="30"/>
              </w:numPr>
              <w:snapToGrid w:val="0"/>
              <w:spacing w:before="0" w:beforeAutospacing="0" w:after="0"/>
              <w:jc w:val="left"/>
              <w:textAlignment w:val="baseline"/>
              <w:rPr>
                <w:bCs/>
                <w:sz w:val="20"/>
                <w:szCs w:val="20"/>
              </w:rPr>
            </w:pPr>
            <w:r>
              <w:rPr>
                <w:rFonts w:hint="eastAsia"/>
                <w:bCs/>
                <w:sz w:val="20"/>
                <w:szCs w:val="20"/>
              </w:rPr>
              <w:t xml:space="preserve">A request to indicate UE which two or three PFLs to be used for performing joint measurement </w:t>
            </w:r>
          </w:p>
          <w:p>
            <w:pPr>
              <w:pStyle w:val="193"/>
              <w:numPr>
                <w:ilvl w:val="0"/>
                <w:numId w:val="31"/>
              </w:numPr>
              <w:snapToGrid w:val="0"/>
              <w:spacing w:before="0" w:beforeAutospacing="0" w:after="0"/>
              <w:jc w:val="left"/>
              <w:textAlignment w:val="baseline"/>
              <w:rPr>
                <w:bCs/>
                <w:sz w:val="20"/>
                <w:szCs w:val="20"/>
              </w:rPr>
            </w:pPr>
            <w:r>
              <w:rPr>
                <w:rFonts w:hint="eastAsia"/>
                <w:bCs/>
                <w:sz w:val="20"/>
                <w:szCs w:val="20"/>
              </w:rPr>
              <w:t>A new ReportingGranularityfactor smaller than 0 which can be applicable at least when the LMF requests aggregated measurements</w:t>
            </w:r>
          </w:p>
          <w:p>
            <w:pPr>
              <w:pStyle w:val="193"/>
              <w:numPr>
                <w:ilvl w:val="1"/>
                <w:numId w:val="31"/>
              </w:numPr>
              <w:snapToGrid w:val="0"/>
              <w:spacing w:before="0" w:beforeAutospacing="0" w:after="0"/>
              <w:jc w:val="left"/>
              <w:textAlignment w:val="baseline"/>
              <w:rPr>
                <w:bCs/>
                <w:sz w:val="20"/>
                <w:szCs w:val="20"/>
              </w:rPr>
            </w:pPr>
            <w:r>
              <w:rPr>
                <w:rFonts w:hint="eastAsia"/>
                <w:bCs/>
                <w:sz w:val="20"/>
                <w:szCs w:val="20"/>
              </w:rPr>
              <w:t>Support at least the values of k={-1,-2}</w:t>
            </w:r>
          </w:p>
          <w:p>
            <w:pPr>
              <w:pStyle w:val="193"/>
              <w:numPr>
                <w:ilvl w:val="2"/>
                <w:numId w:val="31"/>
              </w:numPr>
              <w:snapToGrid w:val="0"/>
              <w:spacing w:before="0" w:beforeAutospacing="0" w:after="0"/>
              <w:jc w:val="left"/>
              <w:textAlignment w:val="baseline"/>
              <w:rPr>
                <w:bCs/>
                <w:sz w:val="20"/>
                <w:szCs w:val="20"/>
              </w:rPr>
            </w:pPr>
            <w:r>
              <w:rPr>
                <w:rFonts w:hint="eastAsia"/>
                <w:bCs/>
                <w:sz w:val="20"/>
                <w:szCs w:val="20"/>
              </w:rPr>
              <w:t>FFS other values e.g. -3, -4, -5, -6</w:t>
            </w:r>
          </w:p>
          <w:p>
            <w:pPr>
              <w:pStyle w:val="193"/>
              <w:numPr>
                <w:ilvl w:val="1"/>
                <w:numId w:val="31"/>
              </w:numPr>
              <w:snapToGrid w:val="0"/>
              <w:spacing w:before="0" w:beforeAutospacing="0" w:after="0"/>
              <w:jc w:val="left"/>
              <w:textAlignment w:val="baseline"/>
              <w:rPr>
                <w:bCs/>
                <w:sz w:val="20"/>
                <w:szCs w:val="20"/>
              </w:rPr>
            </w:pPr>
            <w:r>
              <w:rPr>
                <w:rFonts w:hint="eastAsia"/>
                <w:bCs/>
                <w:sz w:val="20"/>
                <w:szCs w:val="20"/>
              </w:rPr>
              <w:t>Send RAN4 an LS to confirm the feasibility</w:t>
            </w:r>
          </w:p>
          <w:p>
            <w:pPr>
              <w:pStyle w:val="139"/>
              <w:snapToGrid w:val="0"/>
              <w:spacing w:after="0"/>
              <w:ind w:left="0"/>
              <w:jc w:val="both"/>
              <w:rPr>
                <w:sz w:val="20"/>
              </w:rPr>
            </w:pPr>
          </w:p>
          <w:p>
            <w:pPr>
              <w:pStyle w:val="139"/>
              <w:snapToGrid w:val="0"/>
              <w:spacing w:after="0"/>
              <w:ind w:left="0"/>
              <w:jc w:val="both"/>
              <w:rPr>
                <w:sz w:val="20"/>
                <w:lang w:eastAsia="zh-CN"/>
              </w:rPr>
            </w:pPr>
          </w:p>
          <w:p>
            <w:pPr>
              <w:pStyle w:val="139"/>
              <w:snapToGrid w:val="0"/>
              <w:spacing w:after="0"/>
              <w:ind w:left="0"/>
              <w:jc w:val="both"/>
              <w:rPr>
                <w:b/>
                <w:bCs/>
                <w:sz w:val="20"/>
                <w:u w:val="single"/>
                <w:lang w:eastAsia="zh-CN"/>
              </w:rPr>
            </w:pPr>
            <w:r>
              <w:rPr>
                <w:rFonts w:hint="eastAsia"/>
                <w:b/>
                <w:bCs/>
                <w:sz w:val="20"/>
                <w:u w:val="single"/>
                <w:lang w:eastAsia="zh-CN"/>
              </w:rPr>
              <w:t xml:space="preserve">RAN4 LS </w:t>
            </w:r>
            <w:bookmarkStart w:id="45" w:name="OLE_LINK40"/>
            <w:r>
              <w:rPr>
                <w:rFonts w:hint="eastAsia"/>
                <w:b/>
                <w:bCs/>
                <w:sz w:val="20"/>
                <w:u w:val="single"/>
                <w:lang w:eastAsia="zh-CN"/>
              </w:rPr>
              <w:t>R1-2306369</w:t>
            </w:r>
            <w:bookmarkEnd w:id="45"/>
            <w:r>
              <w:rPr>
                <w:rFonts w:hint="eastAsia"/>
                <w:b/>
                <w:bCs/>
                <w:sz w:val="20"/>
                <w:u w:val="single"/>
                <w:lang w:eastAsia="zh-CN"/>
              </w:rPr>
              <w:t>:</w:t>
            </w:r>
          </w:p>
          <w:p>
            <w:pPr>
              <w:snapToGrid w:val="0"/>
              <w:rPr>
                <w:b/>
                <w:bCs/>
                <w:sz w:val="20"/>
                <w:szCs w:val="20"/>
                <w:u w:val="single"/>
              </w:rPr>
            </w:pPr>
            <w:r>
              <w:rPr>
                <w:rFonts w:hint="eastAsia"/>
                <w:b/>
                <w:bCs/>
                <w:sz w:val="20"/>
                <w:szCs w:val="20"/>
                <w:u w:val="single"/>
              </w:rPr>
              <w:t>Agreements:</w:t>
            </w:r>
          </w:p>
          <w:p>
            <w:pPr>
              <w:pStyle w:val="139"/>
              <w:numPr>
                <w:ilvl w:val="0"/>
                <w:numId w:val="32"/>
              </w:numPr>
              <w:overflowPunct w:val="0"/>
              <w:autoSpaceDE w:val="0"/>
              <w:autoSpaceDN w:val="0"/>
              <w:adjustRightInd w:val="0"/>
              <w:snapToGrid w:val="0"/>
              <w:spacing w:after="0"/>
              <w:ind w:left="936"/>
              <w:contextualSpacing w:val="0"/>
              <w:rPr>
                <w:sz w:val="20"/>
                <w:lang w:eastAsia="zh-CN"/>
              </w:rPr>
            </w:pPr>
            <w:r>
              <w:rPr>
                <w:rFonts w:hint="eastAsia"/>
                <w:sz w:val="20"/>
                <w:lang w:eastAsia="zh-CN"/>
              </w:rPr>
              <w:t>For FR1 the additional reporting granularity values are 0.5 Tc, 1 Tc and 2 Tc.</w:t>
            </w:r>
          </w:p>
          <w:p>
            <w:pPr>
              <w:pStyle w:val="139"/>
              <w:numPr>
                <w:ilvl w:val="0"/>
                <w:numId w:val="32"/>
              </w:numPr>
              <w:overflowPunct w:val="0"/>
              <w:autoSpaceDE w:val="0"/>
              <w:autoSpaceDN w:val="0"/>
              <w:adjustRightInd w:val="0"/>
              <w:snapToGrid w:val="0"/>
              <w:spacing w:after="0"/>
              <w:ind w:left="936"/>
              <w:contextualSpacing w:val="0"/>
              <w:rPr>
                <w:sz w:val="20"/>
                <w:lang w:eastAsia="zh-CN"/>
              </w:rPr>
            </w:pPr>
            <w:r>
              <w:rPr>
                <w:rFonts w:hint="eastAsia"/>
                <w:sz w:val="20"/>
                <w:lang w:eastAsia="zh-CN"/>
              </w:rPr>
              <w:t>For FR2 the additional reporting granularity values are 0.25 Tc and 0.5 Tc.</w:t>
            </w:r>
          </w:p>
          <w:p>
            <w:pPr>
              <w:pStyle w:val="139"/>
              <w:numPr>
                <w:ilvl w:val="0"/>
                <w:numId w:val="32"/>
              </w:numPr>
              <w:overflowPunct w:val="0"/>
              <w:autoSpaceDE w:val="0"/>
              <w:autoSpaceDN w:val="0"/>
              <w:adjustRightInd w:val="0"/>
              <w:snapToGrid w:val="0"/>
              <w:spacing w:after="0"/>
              <w:ind w:left="936"/>
              <w:contextualSpacing w:val="0"/>
              <w:rPr>
                <w:sz w:val="20"/>
              </w:rPr>
            </w:pPr>
            <w:r>
              <w:rPr>
                <w:rFonts w:hint="eastAsia"/>
                <w:sz w:val="20"/>
                <w:lang w:eastAsia="zh-CN"/>
              </w:rPr>
              <w:t>The above reporting granularity values apply to both UE and gNB positioning measurements.</w:t>
            </w:r>
          </w:p>
          <w:p>
            <w:pPr>
              <w:pStyle w:val="139"/>
              <w:numPr>
                <w:ilvl w:val="0"/>
                <w:numId w:val="32"/>
              </w:numPr>
              <w:overflowPunct w:val="0"/>
              <w:autoSpaceDE w:val="0"/>
              <w:autoSpaceDN w:val="0"/>
              <w:adjustRightInd w:val="0"/>
              <w:snapToGrid w:val="0"/>
              <w:spacing w:after="0"/>
              <w:ind w:left="936"/>
              <w:contextualSpacing w:val="0"/>
              <w:rPr>
                <w:sz w:val="20"/>
              </w:rPr>
            </w:pPr>
            <w:r>
              <w:rPr>
                <w:rFonts w:hint="eastAsia"/>
                <w:sz w:val="20"/>
                <w:lang w:eastAsia="zh-CN"/>
              </w:rPr>
              <w:t>Send LS to RAN2 and RAN3 (and CC to RAN1) to define signaling for UE and gNB positioning measurement reporting respectively.</w:t>
            </w: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bookmarkStart w:id="46" w:name="OLE_LINK55"/>
      <w:r>
        <w:rPr>
          <w:rFonts w:ascii="Arial" w:hAnsi="Arial" w:eastAsia="宋体" w:cs="Arial"/>
          <w:sz w:val="22"/>
          <w:szCs w:val="22"/>
          <w:lang w:val="en-GB"/>
        </w:rPr>
        <w:t>Round 1</w:t>
      </w:r>
    </w:p>
    <w:p>
      <w:pPr>
        <w:snapToGrid w:val="0"/>
        <w:spacing w:before="180" w:beforeLines="50" w:after="120"/>
        <w:jc w:val="both"/>
        <w:rPr>
          <w:b/>
          <w:sz w:val="20"/>
          <w:szCs w:val="20"/>
          <w:lang w:val="en-GB"/>
        </w:rPr>
      </w:pPr>
      <w:r>
        <w:rPr>
          <w:b/>
          <w:sz w:val="20"/>
          <w:szCs w:val="20"/>
          <w:lang w:val="en-GB"/>
        </w:rPr>
        <w:t xml:space="preserve">FL comments: </w:t>
      </w:r>
    </w:p>
    <w:bookmarkEnd w:id="46"/>
    <w:p>
      <w:pPr>
        <w:snapToGrid w:val="0"/>
        <w:spacing w:before="180" w:beforeLines="50" w:after="120"/>
        <w:jc w:val="both"/>
        <w:rPr>
          <w:rFonts w:eastAsia="宋体"/>
          <w:bCs/>
          <w:sz w:val="20"/>
          <w:szCs w:val="20"/>
        </w:rPr>
      </w:pPr>
      <w:r>
        <w:rPr>
          <w:rFonts w:eastAsia="宋体"/>
          <w:bCs/>
          <w:sz w:val="20"/>
          <w:szCs w:val="20"/>
        </w:rPr>
        <w:t xml:space="preserve">Qualcomm proposes some </w:t>
      </w:r>
      <w:r>
        <w:rPr>
          <w:rFonts w:hint="eastAsia" w:eastAsia="宋体"/>
          <w:bCs/>
          <w:sz w:val="20"/>
          <w:szCs w:val="20"/>
        </w:rPr>
        <w:t xml:space="preserve">further </w:t>
      </w:r>
      <w:r>
        <w:rPr>
          <w:rFonts w:eastAsia="宋体"/>
          <w:bCs/>
          <w:sz w:val="20"/>
          <w:szCs w:val="20"/>
        </w:rPr>
        <w:t xml:space="preserve">enhancement in the location request information. The proposal was actually discussed in last meeting. It seemed not </w:t>
      </w:r>
      <w:r>
        <w:rPr>
          <w:rFonts w:hint="eastAsia" w:eastAsia="宋体"/>
          <w:bCs/>
          <w:sz w:val="20"/>
          <w:szCs w:val="20"/>
        </w:rPr>
        <w:t xml:space="preserve">acceptable </w:t>
      </w:r>
      <w:r>
        <w:rPr>
          <w:rFonts w:eastAsia="宋体"/>
          <w:bCs/>
          <w:sz w:val="20"/>
          <w:szCs w:val="20"/>
        </w:rPr>
        <w:t>for companies since majority thought the commo</w:t>
      </w:r>
      <w:r>
        <w:rPr>
          <w:rFonts w:hint="eastAsia" w:eastAsia="宋体"/>
          <w:bCs/>
          <w:sz w:val="20"/>
          <w:szCs w:val="20"/>
        </w:rPr>
        <w:t>n</w:t>
      </w:r>
      <w:r>
        <w:rPr>
          <w:rFonts w:eastAsia="宋体"/>
          <w:bCs/>
          <w:sz w:val="20"/>
          <w:szCs w:val="20"/>
        </w:rPr>
        <w:t xml:space="preserve"> request should be used for </w:t>
      </w:r>
      <w:r>
        <w:rPr>
          <w:rFonts w:hint="eastAsia" w:eastAsia="宋体"/>
          <w:bCs/>
          <w:sz w:val="20"/>
          <w:szCs w:val="20"/>
        </w:rPr>
        <w:t xml:space="preserve">both </w:t>
      </w:r>
      <w:r>
        <w:rPr>
          <w:rFonts w:eastAsia="宋体"/>
          <w:bCs/>
          <w:sz w:val="20"/>
          <w:szCs w:val="20"/>
        </w:rPr>
        <w:t>single-PFL and PFL</w:t>
      </w:r>
      <w:r>
        <w:rPr>
          <w:rFonts w:hint="eastAsia" w:eastAsia="宋体"/>
          <w:bCs/>
          <w:sz w:val="20"/>
          <w:szCs w:val="20"/>
        </w:rPr>
        <w:t>-</w:t>
      </w:r>
      <w:r>
        <w:rPr>
          <w:rFonts w:eastAsia="宋体"/>
          <w:bCs/>
          <w:sz w:val="20"/>
          <w:szCs w:val="20"/>
        </w:rPr>
        <w:t xml:space="preserve">aggregation case. </w:t>
      </w:r>
      <w:r>
        <w:rPr>
          <w:rFonts w:hint="eastAsia" w:eastAsia="宋体"/>
          <w:bCs/>
          <w:sz w:val="20"/>
          <w:szCs w:val="20"/>
        </w:rPr>
        <w:t xml:space="preserve">Lets further try. </w:t>
      </w:r>
    </w:p>
    <w:p>
      <w:pPr>
        <w:snapToGrid w:val="0"/>
        <w:spacing w:before="180" w:beforeLines="50" w:after="120"/>
        <w:jc w:val="both"/>
        <w:rPr>
          <w:rFonts w:eastAsia="宋体"/>
          <w:bCs/>
          <w:sz w:val="20"/>
          <w:szCs w:val="20"/>
        </w:rPr>
      </w:pPr>
      <w:r>
        <w:rPr>
          <w:rFonts w:eastAsia="宋体"/>
          <w:bCs/>
          <w:sz w:val="20"/>
          <w:szCs w:val="20"/>
        </w:rPr>
        <w:t xml:space="preserve">Nokia further suggests </w:t>
      </w:r>
      <w:r>
        <w:rPr>
          <w:bCs/>
          <w:sz w:val="20"/>
          <w:szCs w:val="20"/>
        </w:rPr>
        <w:t>LMF can requests UE to report the used DL PRS resource set IDs for the aggregated measurement in a measurement report element</w:t>
      </w:r>
      <w:r>
        <w:rPr>
          <w:rFonts w:eastAsia="宋体"/>
          <w:bCs/>
          <w:sz w:val="20"/>
          <w:szCs w:val="20"/>
        </w:rPr>
        <w:t>. However, it seems already reflected by the previous agreement (</w:t>
      </w:r>
      <w:r>
        <w:rPr>
          <w:bCs/>
          <w:sz w:val="20"/>
          <w:szCs w:val="20"/>
        </w:rPr>
        <w:t>A request to indicate UE which two or three PFLs to be used for performing joint measurement</w:t>
      </w:r>
      <w:r>
        <w:rPr>
          <w:rFonts w:eastAsia="宋体"/>
          <w:bCs/>
          <w:sz w:val="20"/>
          <w:szCs w:val="20"/>
        </w:rPr>
        <w:t>).</w:t>
      </w:r>
    </w:p>
    <w:p>
      <w:pPr>
        <w:snapToGrid w:val="0"/>
        <w:spacing w:before="180" w:beforeLines="50" w:after="120"/>
        <w:jc w:val="both"/>
        <w:rPr>
          <w:rFonts w:eastAsia="宋体"/>
          <w:bCs/>
          <w:sz w:val="20"/>
          <w:szCs w:val="20"/>
        </w:rPr>
      </w:pPr>
      <w:r>
        <w:rPr>
          <w:rFonts w:hint="eastAsia" w:eastAsia="宋体"/>
          <w:bCs/>
          <w:sz w:val="20"/>
          <w:szCs w:val="20"/>
        </w:rPr>
        <w:t xml:space="preserve">Huawei further suggests </w:t>
      </w:r>
      <w:r>
        <w:rPr>
          <w:rFonts w:eastAsia="宋体"/>
          <w:bCs/>
          <w:sz w:val="20"/>
          <w:szCs w:val="20"/>
        </w:rPr>
        <w:t xml:space="preserve">k = </w:t>
      </w:r>
      <w:r>
        <w:rPr>
          <w:bCs/>
          <w:sz w:val="20"/>
          <w:szCs w:val="20"/>
        </w:rPr>
        <w:t>{-3,-4,-5,-6}</w:t>
      </w:r>
      <w:r>
        <w:rPr>
          <w:rFonts w:hint="eastAsia" w:eastAsia="宋体"/>
          <w:bCs/>
          <w:sz w:val="20"/>
          <w:szCs w:val="20"/>
        </w:rPr>
        <w:t xml:space="preserve"> for </w:t>
      </w:r>
      <w:r>
        <w:rPr>
          <w:bCs/>
          <w:sz w:val="20"/>
          <w:szCs w:val="20"/>
        </w:rPr>
        <w:t>ReportingGranularityfactor</w:t>
      </w:r>
      <w:r>
        <w:rPr>
          <w:rFonts w:hint="eastAsia" w:eastAsia="宋体"/>
          <w:bCs/>
          <w:sz w:val="20"/>
          <w:szCs w:val="20"/>
        </w:rPr>
        <w:t>, but CATT doesn</w:t>
      </w:r>
      <w:r>
        <w:rPr>
          <w:rFonts w:eastAsia="宋体"/>
          <w:bCs/>
          <w:sz w:val="20"/>
          <w:szCs w:val="20"/>
        </w:rPr>
        <w:t>’</w:t>
      </w:r>
      <w:r>
        <w:rPr>
          <w:rFonts w:hint="eastAsia" w:eastAsia="宋体"/>
          <w:bCs/>
          <w:sz w:val="20"/>
          <w:szCs w:val="20"/>
        </w:rPr>
        <w:t xml:space="preserve">t think so. </w:t>
      </w:r>
    </w:p>
    <w:p>
      <w:pPr>
        <w:snapToGrid w:val="0"/>
        <w:spacing w:before="180" w:beforeLines="50" w:after="120"/>
        <w:jc w:val="both"/>
        <w:rPr>
          <w:rFonts w:eastAsia="宋体"/>
          <w:bCs/>
          <w:sz w:val="20"/>
          <w:szCs w:val="20"/>
        </w:rPr>
      </w:pPr>
      <w:r>
        <w:rPr>
          <w:rFonts w:hint="eastAsia" w:eastAsia="宋体"/>
          <w:bCs/>
          <w:sz w:val="20"/>
          <w:szCs w:val="20"/>
        </w:rPr>
        <w:t xml:space="preserve">Also, </w:t>
      </w:r>
      <w:r>
        <w:rPr>
          <w:rFonts w:eastAsia="宋体"/>
          <w:bCs/>
          <w:sz w:val="20"/>
          <w:szCs w:val="20"/>
        </w:rPr>
        <w:t>Nokia</w:t>
      </w:r>
      <w:r>
        <w:rPr>
          <w:rFonts w:hint="eastAsia" w:eastAsia="宋体"/>
          <w:bCs/>
          <w:sz w:val="20"/>
          <w:szCs w:val="20"/>
        </w:rPr>
        <w:t xml:space="preserve"> and </w:t>
      </w:r>
      <w:r>
        <w:rPr>
          <w:rFonts w:eastAsia="宋体"/>
          <w:bCs/>
          <w:sz w:val="20"/>
          <w:szCs w:val="20"/>
        </w:rPr>
        <w:t>ZTE</w:t>
      </w:r>
      <w:r>
        <w:rPr>
          <w:rFonts w:hint="eastAsia" w:eastAsia="宋体"/>
          <w:bCs/>
          <w:sz w:val="20"/>
          <w:szCs w:val="20"/>
        </w:rPr>
        <w:t xml:space="preserve"> </w:t>
      </w:r>
      <w:r>
        <w:rPr>
          <w:bCs/>
          <w:sz w:val="20"/>
          <w:szCs w:val="20"/>
        </w:rPr>
        <w:t>s</w:t>
      </w:r>
      <w:bookmarkStart w:id="47" w:name="OLE_LINK56"/>
      <w:r>
        <w:rPr>
          <w:bCs/>
          <w:sz w:val="20"/>
          <w:szCs w:val="20"/>
        </w:rPr>
        <w:t xml:space="preserve">upports </w:t>
      </w:r>
      <w:r>
        <w:rPr>
          <w:rFonts w:hint="eastAsia" w:eastAsia="宋体"/>
          <w:bCs/>
          <w:sz w:val="20"/>
          <w:szCs w:val="20"/>
        </w:rPr>
        <w:t xml:space="preserve">to </w:t>
      </w:r>
      <w:r>
        <w:rPr>
          <w:bCs/>
          <w:sz w:val="20"/>
          <w:szCs w:val="20"/>
        </w:rPr>
        <w:t>request gNB</w:t>
      </w:r>
      <w:r>
        <w:rPr>
          <w:rFonts w:hint="eastAsia"/>
          <w:bCs/>
          <w:sz w:val="20"/>
          <w:szCs w:val="20"/>
        </w:rPr>
        <w:t xml:space="preserve"> by LMF on</w:t>
      </w:r>
      <w:r>
        <w:rPr>
          <w:bCs/>
          <w:sz w:val="20"/>
          <w:szCs w:val="20"/>
        </w:rPr>
        <w:t xml:space="preserve"> which two or three CCs are used to perform the joint measurement</w:t>
      </w:r>
      <w:r>
        <w:rPr>
          <w:rFonts w:hint="eastAsia"/>
          <w:bCs/>
          <w:sz w:val="20"/>
          <w:szCs w:val="20"/>
        </w:rPr>
        <w:t xml:space="preserve"> for a symmetrical agreement with the previous one, i.e. a r</w:t>
      </w:r>
      <w:r>
        <w:rPr>
          <w:bCs/>
          <w:sz w:val="20"/>
          <w:szCs w:val="20"/>
        </w:rPr>
        <w:t>equest to indicate UE which two or three PFLs to be used for performing joint measurement</w:t>
      </w:r>
      <w:r>
        <w:rPr>
          <w:rFonts w:hint="eastAsia" w:eastAsia="宋体"/>
          <w:bCs/>
          <w:sz w:val="20"/>
          <w:szCs w:val="20"/>
        </w:rPr>
        <w:t>.</w:t>
      </w:r>
      <w:bookmarkEnd w:id="47"/>
      <w:r>
        <w:rPr>
          <w:rFonts w:hint="eastAsia" w:eastAsia="宋体"/>
          <w:bCs/>
          <w:sz w:val="20"/>
          <w:szCs w:val="20"/>
        </w:rPr>
        <w:t xml:space="preserve"> </w:t>
      </w:r>
    </w:p>
    <w:p>
      <w:pPr>
        <w:tabs>
          <w:tab w:val="left" w:pos="640"/>
        </w:tabs>
        <w:snapToGrid w:val="0"/>
        <w:spacing w:before="180" w:beforeLines="50" w:after="120"/>
        <w:jc w:val="both"/>
        <w:rPr>
          <w:rFonts w:eastAsia="宋体"/>
          <w:bCs/>
          <w:sz w:val="20"/>
          <w:szCs w:val="20"/>
        </w:rPr>
      </w:pPr>
      <w:r>
        <w:rPr>
          <w:rFonts w:eastAsia="宋体"/>
          <w:bCs/>
          <w:sz w:val="20"/>
          <w:szCs w:val="20"/>
        </w:rPr>
        <w:t xml:space="preserve">Apple thinks </w:t>
      </w:r>
      <w:r>
        <w:rPr>
          <w:rFonts w:hint="eastAsia" w:eastAsia="宋体"/>
          <w:bCs/>
          <w:sz w:val="20"/>
          <w:szCs w:val="20"/>
        </w:rPr>
        <w:t>a</w:t>
      </w:r>
      <w:r>
        <w:rPr>
          <w:bCs/>
          <w:sz w:val="20"/>
          <w:szCs w:val="20"/>
        </w:rPr>
        <w:t xml:space="preserve"> UE should be able to indicate if it requires contiguous PRS resources for bandwidth aggregation in the case of UE-based positioning.</w:t>
      </w:r>
      <w:r>
        <w:rPr>
          <w:rFonts w:eastAsia="宋体"/>
          <w:bCs/>
          <w:sz w:val="20"/>
          <w:szCs w:val="20"/>
        </w:rPr>
        <w:t xml:space="preserve"> FL thinks it has been reflected in the previous agreements.</w:t>
      </w:r>
    </w:p>
    <w:p>
      <w:pPr>
        <w:snapToGrid w:val="0"/>
        <w:spacing w:before="120" w:after="120"/>
        <w:jc w:val="both"/>
        <w:rPr>
          <w:rFonts w:ascii="Times" w:hAnsi="Times" w:eastAsia="宋体" w:cs="Times"/>
          <w:b/>
          <w:bCs/>
          <w:sz w:val="20"/>
          <w:szCs w:val="20"/>
        </w:rPr>
      </w:pPr>
    </w:p>
    <w:p>
      <w:pPr>
        <w:snapToGrid w:val="0"/>
        <w:spacing w:before="120" w:after="120"/>
        <w:jc w:val="both"/>
        <w:rPr>
          <w:rFonts w:ascii="Times" w:hAnsi="Times" w:eastAsia="宋体" w:cs="Times"/>
          <w:b/>
          <w:bCs/>
          <w:sz w:val="20"/>
          <w:szCs w:val="20"/>
        </w:rPr>
      </w:pPr>
    </w:p>
    <w:p>
      <w:pPr>
        <w:snapToGrid w:val="0"/>
        <w:jc w:val="both"/>
        <w:rPr>
          <w:rFonts w:ascii="Times" w:hAnsi="Times" w:eastAsia="宋体" w:cs="Times"/>
          <w:b/>
          <w:bCs/>
          <w:sz w:val="20"/>
          <w:szCs w:val="20"/>
        </w:rPr>
      </w:pPr>
      <w:bookmarkStart w:id="48" w:name="OLE_LINK54"/>
      <w:r>
        <w:rPr>
          <w:rFonts w:ascii="Times" w:hAnsi="Times" w:cs="Times"/>
          <w:b/>
          <w:bCs/>
          <w:sz w:val="20"/>
          <w:szCs w:val="20"/>
        </w:rPr>
        <w:t>Proposal 5-1</w:t>
      </w:r>
    </w:p>
    <w:p>
      <w:pPr>
        <w:pStyle w:val="139"/>
        <w:numPr>
          <w:ilvl w:val="0"/>
          <w:numId w:val="18"/>
        </w:numPr>
        <w:snapToGrid w:val="0"/>
        <w:jc w:val="both"/>
        <w:rPr>
          <w:rFonts w:ascii="Times" w:hAnsi="Times" w:cs="Times"/>
          <w:sz w:val="20"/>
          <w:lang w:eastAsia="zh-CN"/>
        </w:rPr>
      </w:pPr>
      <w:r>
        <w:rPr>
          <w:rFonts w:ascii="Times" w:hAnsi="Times" w:cs="Times"/>
          <w:sz w:val="20"/>
          <w:lang w:eastAsia="zh-CN"/>
        </w:rPr>
        <w:t>For PRS bandwidth aggregation, with regards to the signaling in the location information request message, support:</w:t>
      </w:r>
    </w:p>
    <w:p>
      <w:pPr>
        <w:pStyle w:val="139"/>
        <w:numPr>
          <w:ilvl w:val="1"/>
          <w:numId w:val="18"/>
        </w:numPr>
        <w:snapToGrid w:val="0"/>
        <w:jc w:val="both"/>
        <w:rPr>
          <w:rFonts w:ascii="Times" w:hAnsi="Times" w:cs="Times"/>
          <w:sz w:val="20"/>
          <w:lang w:eastAsia="zh-CN"/>
        </w:rPr>
      </w:pPr>
      <w:r>
        <w:rPr>
          <w:rFonts w:ascii="Times" w:hAnsi="Times" w:cs="Times"/>
          <w:sz w:val="20"/>
          <w:lang w:eastAsia="zh-CN"/>
        </w:rPr>
        <w:t>The new ReportingGranularityfactor should also support k={-3,-4,-5,-6} in addition to {-1,-2} when the LMF requests the aggregated measurements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the maximum number of aggregated UE-Rx-Tx / RSTD measurements for different DL-PRS Resources or DL-PRS Resource Sets per TRP</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reduced sample processing for aggregated measurements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lower Rx beam sweeping factor for FR2 that is applicable for aggregated measurements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 request for configuring the UE to measure the same aggregated DL-PRS Resources of a TRP with N different UE Rx TEGs</w:t>
      </w:r>
    </w:p>
    <w:p>
      <w:pPr>
        <w:pStyle w:val="139"/>
        <w:numPr>
          <w:ilvl w:val="0"/>
          <w:numId w:val="18"/>
        </w:numPr>
        <w:snapToGrid w:val="0"/>
        <w:jc w:val="both"/>
        <w:rPr>
          <w:rFonts w:ascii="Times" w:hAnsi="Times" w:cs="Times"/>
          <w:sz w:val="20"/>
          <w:lang w:eastAsia="zh-CN"/>
        </w:rPr>
      </w:pPr>
      <w:r>
        <w:rPr>
          <w:rFonts w:hint="eastAsia" w:eastAsiaTheme="minorEastAsia"/>
          <w:bCs/>
          <w:iCs/>
          <w:color w:val="C00000"/>
          <w:sz w:val="20"/>
          <w:lang w:eastAsia="zh-CN"/>
        </w:rPr>
        <w:t>F</w:t>
      </w:r>
      <w:r>
        <w:rPr>
          <w:rFonts w:eastAsiaTheme="minorEastAsia"/>
          <w:bCs/>
          <w:iCs/>
          <w:color w:val="C00000"/>
          <w:sz w:val="20"/>
        </w:rPr>
        <w:t>or SRS bandwidth aggregation</w:t>
      </w:r>
      <w:r>
        <w:rPr>
          <w:rFonts w:hint="eastAsia" w:eastAsiaTheme="minorEastAsia"/>
          <w:bCs/>
          <w:iCs/>
          <w:color w:val="C00000"/>
          <w:sz w:val="20"/>
          <w:lang w:eastAsia="zh-CN"/>
        </w:rPr>
        <w:t>, s</w:t>
      </w:r>
      <w:r>
        <w:rPr>
          <w:rFonts w:ascii="Times" w:hAnsi="Times" w:cs="Times"/>
          <w:sz w:val="20"/>
          <w:lang w:eastAsia="zh-CN"/>
        </w:rPr>
        <w:t>upport LMF to request/indicate gNB which two or three carriers to be used for performing joint measurement</w:t>
      </w:r>
      <w:r>
        <w:rPr>
          <w:rFonts w:hint="eastAsia" w:ascii="Times" w:hAnsi="Times" w:cs="Times"/>
          <w:sz w:val="20"/>
          <w:lang w:eastAsia="zh-CN"/>
        </w:rPr>
        <w:t xml:space="preserve"> </w:t>
      </w:r>
      <w:r>
        <w:rPr>
          <w:rFonts w:hint="eastAsia" w:ascii="Times" w:hAnsi="Times" w:cs="Times"/>
          <w:color w:val="C00000"/>
          <w:sz w:val="20"/>
          <w:lang w:eastAsia="zh-CN"/>
        </w:rPr>
        <w:t xml:space="preserve">in </w:t>
      </w:r>
      <w:r>
        <w:rPr>
          <w:rFonts w:ascii="Times" w:hAnsi="Times" w:cs="Times"/>
          <w:color w:val="C00000"/>
          <w:sz w:val="20"/>
          <w:lang w:eastAsia="zh-CN"/>
        </w:rPr>
        <w:t>Requested SRS Transmission Characteristics</w:t>
      </w:r>
    </w:p>
    <w:bookmarkEnd w:id="48"/>
    <w:p>
      <w:pPr>
        <w:snapToGrid w:val="0"/>
        <w:spacing w:before="120" w:after="120"/>
        <w:jc w:val="both"/>
        <w:rPr>
          <w:rFonts w:ascii="Times" w:hAnsi="Times" w:eastAsia="宋体" w:cs="Time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49" w:name="OLE_LINK57" w:colFirst="0" w:colLast="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vivo</w:t>
            </w:r>
          </w:p>
        </w:tc>
        <w:tc>
          <w:tcPr>
            <w:tcW w:w="7508" w:type="dxa"/>
            <w:vAlign w:val="center"/>
          </w:tcPr>
          <w:p>
            <w:pPr>
              <w:snapToGrid w:val="0"/>
              <w:rPr>
                <w:rFonts w:eastAsiaTheme="minorEastAsia"/>
                <w:bCs/>
                <w:iCs/>
                <w:sz w:val="18"/>
                <w:szCs w:val="18"/>
              </w:rPr>
            </w:pPr>
            <w:r>
              <w:rPr>
                <w:rFonts w:hint="eastAsia" w:eastAsiaTheme="minorEastAsia"/>
                <w:bCs/>
                <w:iCs/>
                <w:sz w:val="18"/>
                <w:szCs w:val="18"/>
              </w:rPr>
              <w:t>For the first sub-bullet, based on RAN4 LS,  we support {-1, -2} only in Rel-18. For other sub-bullet, we okay to common request or different request.</w:t>
            </w:r>
          </w:p>
          <w:p>
            <w:pPr>
              <w:snapToGrid w:val="0"/>
              <w:rPr>
                <w:rFonts w:eastAsiaTheme="minorEastAsia"/>
                <w:bCs/>
                <w:iCs/>
                <w:sz w:val="18"/>
                <w:szCs w:val="18"/>
              </w:rPr>
            </w:pPr>
            <w:r>
              <w:rPr>
                <w:rFonts w:hint="eastAsia" w:eastAsiaTheme="minorEastAsia"/>
                <w:bCs/>
                <w:iCs/>
                <w:sz w:val="18"/>
                <w:szCs w:val="18"/>
              </w:rPr>
              <w:t>Whether the second bullet is f</w:t>
            </w:r>
            <w:bookmarkStart w:id="50" w:name="OLE_LINK52"/>
            <w:r>
              <w:rPr>
                <w:rFonts w:hint="eastAsia" w:eastAsiaTheme="minorEastAsia"/>
                <w:bCs/>
                <w:iCs/>
                <w:sz w:val="18"/>
                <w:szCs w:val="18"/>
              </w:rPr>
              <w:t>or SRS bandwidth aggregation</w:t>
            </w:r>
            <w:bookmarkEnd w:id="50"/>
            <w:r>
              <w:rPr>
                <w:rFonts w:hint="eastAsia" w:eastAsiaTheme="minorEastAsia"/>
                <w:bCs/>
                <w:iCs/>
                <w:sz w:val="18"/>
                <w:szCs w:val="18"/>
              </w:rPr>
              <w:t>, if it is, we prefer to add “for SRS bandwidth aggregation”</w:t>
            </w:r>
          </w:p>
        </w:tc>
      </w:tr>
      <w:bookmarkEnd w:id="49"/>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OPPO</w:t>
            </w:r>
          </w:p>
        </w:tc>
        <w:tc>
          <w:tcPr>
            <w:tcW w:w="7508" w:type="dxa"/>
            <w:vAlign w:val="center"/>
          </w:tcPr>
          <w:p>
            <w:pPr>
              <w:snapToGrid w:val="0"/>
              <w:rPr>
                <w:rFonts w:eastAsiaTheme="minorEastAsia"/>
                <w:bCs/>
                <w:iCs/>
                <w:sz w:val="18"/>
                <w:szCs w:val="18"/>
              </w:rPr>
            </w:pPr>
            <w:r>
              <w:rPr>
                <w:rFonts w:hint="eastAsia" w:eastAsiaTheme="minorEastAsia"/>
                <w:bCs/>
                <w:iCs/>
                <w:sz w:val="18"/>
                <w:szCs w:val="18"/>
              </w:rPr>
              <w:t>We also do not think the extra values for k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Qualcomm</w:t>
            </w:r>
          </w:p>
        </w:tc>
        <w:tc>
          <w:tcPr>
            <w:tcW w:w="7508" w:type="dxa"/>
            <w:vAlign w:val="center"/>
          </w:tcPr>
          <w:p>
            <w:pPr>
              <w:snapToGrid w:val="0"/>
              <w:rPr>
                <w:rFonts w:eastAsiaTheme="minorEastAsia"/>
                <w:bCs/>
                <w:iCs/>
                <w:sz w:val="18"/>
                <w:szCs w:val="18"/>
              </w:rPr>
            </w:pPr>
            <w:r>
              <w:rPr>
                <w:rFonts w:hint="eastAsia" w:eastAsiaTheme="minorEastAsia"/>
                <w:bCs/>
                <w:iCs/>
                <w:sz w:val="18"/>
                <w:szCs w:val="18"/>
              </w:rPr>
              <w:t xml:space="preserve">With regards to the “k” values, we are OK RAN4 to provide their input and make the decision if more values should be added. </w:t>
            </w:r>
          </w:p>
          <w:p>
            <w:pPr>
              <w:snapToGrid w:val="0"/>
              <w:rPr>
                <w:rFonts w:eastAsiaTheme="minorEastAsia"/>
                <w:bCs/>
                <w:iCs/>
                <w:sz w:val="18"/>
                <w:szCs w:val="18"/>
              </w:rPr>
            </w:pPr>
          </w:p>
          <w:p>
            <w:pPr>
              <w:snapToGrid w:val="0"/>
              <w:rPr>
                <w:rFonts w:eastAsiaTheme="minorEastAsia"/>
                <w:bCs/>
                <w:iCs/>
                <w:sz w:val="18"/>
                <w:szCs w:val="18"/>
              </w:rPr>
            </w:pPr>
            <w:r>
              <w:rPr>
                <w:rFonts w:hint="eastAsia" w:eastAsiaTheme="minorEastAsia"/>
                <w:bCs/>
                <w:iCs/>
                <w:sz w:val="18"/>
                <w:szCs w:val="18"/>
              </w:rPr>
              <w:t xml:space="preserve">We assume the last bullet is for SRS aggregation since it talks about carriers and not PFLs? We support the feature of LMF including in the “SRS Transmission Properties Request” information to enable the gNB to configure aggregated SRS. If this is what this bullet is proposing, we are generally supportive, but maybe some rewording may be useful.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iCs/>
                <w:sz w:val="18"/>
                <w:szCs w:val="18"/>
              </w:rPr>
            </w:pPr>
            <w:r>
              <w:rPr>
                <w:rFonts w:hint="eastAsia" w:eastAsiaTheme="minorEastAsia"/>
                <w:iCs/>
                <w:sz w:val="18"/>
                <w:szCs w:val="18"/>
              </w:rPr>
              <w:t>Huawei, HiSilicon</w:t>
            </w:r>
          </w:p>
        </w:tc>
        <w:tc>
          <w:tcPr>
            <w:tcW w:w="7508" w:type="dxa"/>
          </w:tcPr>
          <w:p>
            <w:pPr>
              <w:snapToGrid w:val="0"/>
              <w:rPr>
                <w:rFonts w:eastAsiaTheme="minorEastAsia"/>
                <w:iCs/>
                <w:sz w:val="18"/>
                <w:szCs w:val="18"/>
              </w:rPr>
            </w:pPr>
            <w:r>
              <w:rPr>
                <w:rFonts w:hint="eastAsia" w:eastAsiaTheme="minorEastAsia"/>
                <w:iCs/>
                <w:sz w:val="18"/>
                <w:szCs w:val="18"/>
              </w:rPr>
              <w:t>Support the fitst subbullet of the first bullet.</w:t>
            </w:r>
          </w:p>
          <w:p>
            <w:pPr>
              <w:snapToGrid w:val="0"/>
              <w:rPr>
                <w:rFonts w:eastAsiaTheme="minorEastAsia"/>
                <w:iCs/>
                <w:sz w:val="18"/>
                <w:szCs w:val="18"/>
              </w:rPr>
            </w:pPr>
            <w:r>
              <w:rPr>
                <w:rFonts w:hint="eastAsia" w:eastAsiaTheme="minorEastAsia"/>
                <w:iCs/>
                <w:sz w:val="18"/>
                <w:szCs w:val="18"/>
              </w:rPr>
              <w:t>For the maining subbullets, we do not think any new request should be introduced. They can follow the legacy.</w:t>
            </w:r>
          </w:p>
          <w:p>
            <w:pPr>
              <w:snapToGrid w:val="0"/>
              <w:rPr>
                <w:rFonts w:eastAsiaTheme="minorEastAsia"/>
                <w:iCs/>
                <w:sz w:val="18"/>
                <w:szCs w:val="18"/>
              </w:rPr>
            </w:pPr>
          </w:p>
          <w:p>
            <w:pPr>
              <w:snapToGrid w:val="0"/>
              <w:rPr>
                <w:b/>
                <w:iCs/>
                <w:sz w:val="18"/>
                <w:szCs w:val="18"/>
              </w:rPr>
            </w:pPr>
            <w:r>
              <w:rPr>
                <w:rFonts w:hint="eastAsia" w:eastAsiaTheme="minorEastAsia"/>
                <w:iCs/>
                <w:sz w:val="18"/>
                <w:szCs w:val="18"/>
              </w:rPr>
              <w:t>Support the second bullet. However the requested transmission requested could be easily updated with a larger bandwidth value without pointing out how many CCs there are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CATT</w:t>
            </w:r>
          </w:p>
        </w:tc>
        <w:tc>
          <w:tcPr>
            <w:tcW w:w="7508" w:type="dxa"/>
          </w:tcPr>
          <w:p>
            <w:pPr>
              <w:snapToGrid w:val="0"/>
              <w:rPr>
                <w:rFonts w:eastAsiaTheme="minorEastAsia"/>
                <w:bCs/>
                <w:iCs/>
                <w:sz w:val="18"/>
                <w:szCs w:val="18"/>
              </w:rPr>
            </w:pPr>
            <w:r>
              <w:rPr>
                <w:rFonts w:hint="eastAsia" w:eastAsiaTheme="minorEastAsia"/>
                <w:bCs/>
                <w:iCs/>
                <w:sz w:val="18"/>
                <w:szCs w:val="18"/>
              </w:rPr>
              <w:t xml:space="preserve">For </w:t>
            </w:r>
            <w:r>
              <w:rPr>
                <w:rFonts w:hint="eastAsia" w:eastAsiaTheme="minorEastAsia"/>
                <w:bCs/>
                <w:i/>
                <w:sz w:val="18"/>
                <w:szCs w:val="18"/>
              </w:rPr>
              <w:t xml:space="preserve">ReportingGranularityfactor, </w:t>
            </w:r>
            <w:r>
              <w:rPr>
                <w:rFonts w:hint="eastAsia" w:eastAsiaTheme="minorEastAsia"/>
                <w:bCs/>
                <w:iCs/>
                <w:sz w:val="18"/>
                <w:szCs w:val="18"/>
              </w:rPr>
              <w:t>RAN4 already made the decision to support -1, -2. If there is still a need to add other values, it should be up to RAN4 to decide.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hint="eastAsia" w:eastAsiaTheme="minorEastAsia"/>
                <w:bCs/>
                <w:iCs/>
                <w:sz w:val="18"/>
                <w:szCs w:val="18"/>
              </w:rPr>
              <w:t>Ericsson</w:t>
            </w:r>
          </w:p>
        </w:tc>
        <w:tc>
          <w:tcPr>
            <w:tcW w:w="7508" w:type="dxa"/>
          </w:tcPr>
          <w:p>
            <w:pPr>
              <w:snapToGrid w:val="0"/>
              <w:rPr>
                <w:rFonts w:eastAsiaTheme="minorEastAsia"/>
                <w:bCs/>
                <w:iCs/>
                <w:sz w:val="18"/>
                <w:szCs w:val="18"/>
              </w:rPr>
            </w:pPr>
            <w:r>
              <w:rPr>
                <w:rFonts w:hint="eastAsia" w:eastAsiaTheme="minorEastAsia"/>
                <w:bCs/>
                <w:iCs/>
                <w:sz w:val="18"/>
                <w:szCs w:val="18"/>
              </w:rPr>
              <w:t>As mentioned by CATT, RAN4 already ageed support for -1 and -2.  So, we don’t need to further discuss this issue in RAN1.  If support for other values are needed, this can be discussed in RAN4.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tcPr>
          <w:p>
            <w:pPr>
              <w:snapToGrid w:val="0"/>
              <w:rPr>
                <w:rFonts w:eastAsiaTheme="minorEastAsia"/>
                <w:bCs/>
                <w:iCs/>
                <w:sz w:val="18"/>
                <w:szCs w:val="18"/>
              </w:rPr>
            </w:pPr>
            <w:r>
              <w:rPr>
                <w:rFonts w:hint="eastAsia" w:eastAsia="Malgun Gothic"/>
                <w:bCs/>
                <w:iCs/>
                <w:sz w:val="18"/>
                <w:szCs w:val="18"/>
                <w:lang w:eastAsia="ko-KR"/>
              </w:rPr>
              <w:t>LGE</w:t>
            </w:r>
          </w:p>
        </w:tc>
        <w:tc>
          <w:tcPr>
            <w:tcW w:w="7508" w:type="dxa"/>
          </w:tcPr>
          <w:p>
            <w:pPr>
              <w:snapToGrid w:val="0"/>
              <w:rPr>
                <w:rFonts w:eastAsiaTheme="minorEastAsia"/>
                <w:bCs/>
                <w:iCs/>
                <w:sz w:val="18"/>
                <w:szCs w:val="18"/>
              </w:rPr>
            </w:pPr>
            <w:r>
              <w:rPr>
                <w:rFonts w:hint="eastAsia" w:eastAsia="Malgun Gothic"/>
                <w:bCs/>
                <w:iCs/>
                <w:sz w:val="18"/>
                <w:szCs w:val="18"/>
                <w:lang w:eastAsia="ko-KR"/>
              </w:rPr>
              <w:t xml:space="preserve">Share similar view with other company that we do not need to discuss additional k value.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宋体"/>
                <w:bCs/>
                <w:iCs/>
                <w:sz w:val="18"/>
                <w:szCs w:val="18"/>
              </w:rPr>
            </w:pPr>
            <w:r>
              <w:rPr>
                <w:rFonts w:hint="eastAsia" w:eastAsia="宋体"/>
                <w:bCs/>
                <w:iCs/>
                <w:sz w:val="18"/>
                <w:szCs w:val="18"/>
              </w:rPr>
              <w:t>FL</w:t>
            </w:r>
          </w:p>
        </w:tc>
        <w:tc>
          <w:tcPr>
            <w:tcW w:w="7508" w:type="dxa"/>
          </w:tcPr>
          <w:p>
            <w:pPr>
              <w:snapToGrid w:val="0"/>
              <w:rPr>
                <w:rFonts w:eastAsia="宋体"/>
                <w:bCs/>
                <w:iCs/>
                <w:sz w:val="18"/>
                <w:szCs w:val="18"/>
              </w:rPr>
            </w:pPr>
            <w:r>
              <w:rPr>
                <w:rFonts w:hint="eastAsia" w:eastAsia="宋体"/>
                <w:bCs/>
                <w:iCs/>
                <w:sz w:val="18"/>
                <w:szCs w:val="18"/>
              </w:rPr>
              <w:t>I updated the proposal in red in the above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宋体"/>
                <w:bCs/>
                <w:iCs/>
                <w:sz w:val="18"/>
                <w:szCs w:val="18"/>
              </w:rPr>
            </w:pPr>
            <w:r>
              <w:rPr>
                <w:rFonts w:hint="eastAsia" w:eastAsia="宋体"/>
                <w:bCs/>
                <w:iCs/>
                <w:sz w:val="18"/>
                <w:szCs w:val="18"/>
              </w:rPr>
              <w:t>Nokia/NSB</w:t>
            </w:r>
          </w:p>
        </w:tc>
        <w:tc>
          <w:tcPr>
            <w:tcW w:w="7508" w:type="dxa"/>
          </w:tcPr>
          <w:p>
            <w:pPr>
              <w:snapToGrid w:val="0"/>
              <w:rPr>
                <w:rFonts w:eastAsia="宋体"/>
                <w:bCs/>
                <w:iCs/>
                <w:sz w:val="18"/>
                <w:szCs w:val="18"/>
              </w:rPr>
            </w:pPr>
            <w:r>
              <w:rPr>
                <w:rFonts w:hint="eastAsia" w:eastAsia="宋体"/>
                <w:bCs/>
                <w:iCs/>
                <w:sz w:val="18"/>
                <w:szCs w:val="18"/>
              </w:rPr>
              <w:t xml:space="preserve">For the granulairy issue, RAN4 already made an agreement we should let them make further progress. </w:t>
            </w:r>
          </w:p>
          <w:p>
            <w:pPr>
              <w:snapToGrid w:val="0"/>
              <w:rPr>
                <w:rFonts w:eastAsia="宋体"/>
                <w:bCs/>
                <w:iCs/>
                <w:sz w:val="18"/>
                <w:szCs w:val="18"/>
              </w:rPr>
            </w:pPr>
          </w:p>
          <w:p>
            <w:pPr>
              <w:snapToGrid w:val="0"/>
              <w:rPr>
                <w:rFonts w:eastAsia="宋体"/>
                <w:bCs/>
                <w:iCs/>
                <w:sz w:val="18"/>
                <w:szCs w:val="18"/>
              </w:rPr>
            </w:pPr>
            <w:r>
              <w:rPr>
                <w:rFonts w:hint="eastAsia" w:eastAsia="宋体"/>
                <w:bCs/>
                <w:iCs/>
                <w:sz w:val="18"/>
                <w:szCs w:val="18"/>
              </w:rPr>
              <w:t>We are supportive of the 2</w:t>
            </w:r>
            <w:r>
              <w:rPr>
                <w:rFonts w:hint="eastAsia" w:eastAsia="宋体"/>
                <w:bCs/>
                <w:iCs/>
                <w:sz w:val="18"/>
                <w:szCs w:val="18"/>
                <w:vertAlign w:val="superscript"/>
              </w:rPr>
              <w:t>nd</w:t>
            </w:r>
            <w:r>
              <w:rPr>
                <w:rFonts w:hint="eastAsia" w:eastAsia="宋体"/>
                <w:bCs/>
                <w:iCs/>
                <w:sz w:val="18"/>
                <w:szCs w:val="18"/>
              </w:rPr>
              <w:t xml:space="preserve"> main bullet (proposal for SRS) and believe it is necessary.</w:t>
            </w:r>
          </w:p>
        </w:tc>
      </w:tr>
    </w:tbl>
    <w:p>
      <w:pPr>
        <w:snapToGrid w:val="0"/>
      </w:pPr>
    </w:p>
    <w:p>
      <w:pPr>
        <w:snapToGrid w:val="0"/>
        <w:rPr>
          <w:lang w:val="en-GB"/>
        </w:rPr>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 xml:space="preserve">Round </w:t>
      </w:r>
      <w:r>
        <w:rPr>
          <w:rFonts w:hint="eastAsia" w:ascii="Arial" w:hAnsi="Arial" w:eastAsia="宋体" w:cs="Arial"/>
          <w:sz w:val="22"/>
          <w:szCs w:val="22"/>
        </w:rPr>
        <w:t>2</w:t>
      </w:r>
    </w:p>
    <w:p>
      <w:pPr>
        <w:snapToGrid w:val="0"/>
        <w:spacing w:before="180" w:beforeLines="50" w:after="120"/>
        <w:jc w:val="both"/>
        <w:rPr>
          <w:b/>
          <w:sz w:val="20"/>
          <w:szCs w:val="20"/>
          <w:lang w:val="en-GB"/>
        </w:rPr>
      </w:pPr>
      <w:r>
        <w:rPr>
          <w:b/>
          <w:sz w:val="20"/>
          <w:szCs w:val="20"/>
          <w:lang w:val="en-GB"/>
        </w:rPr>
        <w:t xml:space="preserve">FL comments: </w:t>
      </w:r>
    </w:p>
    <w:p>
      <w:pPr>
        <w:snapToGrid w:val="0"/>
        <w:spacing w:before="180" w:beforeLines="50" w:after="120"/>
        <w:jc w:val="both"/>
        <w:rPr>
          <w:rFonts w:eastAsia="宋体"/>
          <w:bCs/>
          <w:sz w:val="20"/>
          <w:szCs w:val="20"/>
        </w:rPr>
      </w:pPr>
      <w:r>
        <w:rPr>
          <w:rFonts w:hint="eastAsia" w:eastAsia="宋体"/>
          <w:bCs/>
          <w:sz w:val="20"/>
          <w:szCs w:val="20"/>
        </w:rPr>
        <w:t>We already s</w:t>
      </w:r>
      <w:r>
        <w:rPr>
          <w:bCs/>
          <w:sz w:val="20"/>
          <w:szCs w:val="20"/>
        </w:rPr>
        <w:t>upport</w:t>
      </w:r>
      <w:r>
        <w:rPr>
          <w:rFonts w:hint="eastAsia" w:eastAsia="宋体"/>
          <w:bCs/>
          <w:sz w:val="20"/>
          <w:szCs w:val="20"/>
        </w:rPr>
        <w:t>ed</w:t>
      </w:r>
      <w:r>
        <w:rPr>
          <w:bCs/>
          <w:sz w:val="20"/>
          <w:szCs w:val="20"/>
        </w:rPr>
        <w:t xml:space="preserve"> </w:t>
      </w:r>
      <w:r>
        <w:rPr>
          <w:rFonts w:hint="eastAsia" w:eastAsia="宋体"/>
          <w:bCs/>
          <w:sz w:val="20"/>
          <w:szCs w:val="20"/>
        </w:rPr>
        <w:t xml:space="preserve">to </w:t>
      </w:r>
      <w:r>
        <w:rPr>
          <w:bCs/>
          <w:sz w:val="20"/>
          <w:szCs w:val="20"/>
        </w:rPr>
        <w:t>request gNB</w:t>
      </w:r>
      <w:r>
        <w:rPr>
          <w:rFonts w:hint="eastAsia"/>
          <w:bCs/>
          <w:sz w:val="20"/>
          <w:szCs w:val="20"/>
        </w:rPr>
        <w:t xml:space="preserve"> by LMF on</w:t>
      </w:r>
      <w:r>
        <w:rPr>
          <w:bCs/>
          <w:sz w:val="20"/>
          <w:szCs w:val="20"/>
        </w:rPr>
        <w:t xml:space="preserve"> which two or three CCs are used to perform the joint measurement</w:t>
      </w:r>
      <w:r>
        <w:rPr>
          <w:rFonts w:hint="eastAsia" w:eastAsia="宋体"/>
          <w:bCs/>
          <w:sz w:val="20"/>
          <w:szCs w:val="20"/>
        </w:rPr>
        <w:t>. F</w:t>
      </w:r>
      <w:r>
        <w:rPr>
          <w:rFonts w:hint="eastAsia"/>
          <w:bCs/>
          <w:sz w:val="20"/>
          <w:szCs w:val="20"/>
        </w:rPr>
        <w:t xml:space="preserve">or a symmetrical agreement </w:t>
      </w:r>
      <w:r>
        <w:rPr>
          <w:rFonts w:hint="eastAsia" w:eastAsia="宋体"/>
          <w:bCs/>
          <w:sz w:val="20"/>
          <w:szCs w:val="20"/>
        </w:rPr>
        <w:t xml:space="preserve">for UL, we think it is better to support the following proposal. </w:t>
      </w:r>
    </w:p>
    <w:p>
      <w:pPr>
        <w:snapToGrid w:val="0"/>
        <w:spacing w:before="180" w:beforeLines="50" w:after="120"/>
        <w:jc w:val="both"/>
        <w:rPr>
          <w:b/>
          <w:sz w:val="20"/>
          <w:szCs w:val="20"/>
        </w:rPr>
      </w:pPr>
      <w:r>
        <w:rPr>
          <w:rFonts w:hint="eastAsia"/>
        </w:rPr>
        <w:t xml:space="preserve">Specifically, FL thinks the request signaling should be included in the </w:t>
      </w:r>
      <w:r>
        <w:t>Measurement Characteristics Request Indicator</w:t>
      </w:r>
      <w:r>
        <w:rPr>
          <w:rFonts w:hint="eastAsia"/>
        </w:rPr>
        <w:t xml:space="preserve"> in NR PPa.</w:t>
      </w:r>
    </w:p>
    <w:p>
      <w:pPr>
        <w:snapToGrid w:val="0"/>
        <w:rPr>
          <w:lang w:val="en-GB"/>
        </w:rPr>
      </w:pPr>
    </w:p>
    <w:p>
      <w:pPr>
        <w:snapToGrid w:val="0"/>
        <w:jc w:val="both"/>
        <w:rPr>
          <w:rFonts w:ascii="Times" w:hAnsi="Times" w:eastAsia="宋体" w:cs="Times"/>
          <w:b/>
          <w:bCs/>
          <w:sz w:val="20"/>
          <w:szCs w:val="20"/>
        </w:rPr>
      </w:pPr>
      <w:r>
        <w:rPr>
          <w:rFonts w:ascii="Times" w:hAnsi="Times" w:cs="Times"/>
          <w:b/>
          <w:bCs/>
          <w:sz w:val="20"/>
          <w:szCs w:val="20"/>
        </w:rPr>
        <w:t>Proposal 5-</w:t>
      </w:r>
      <w:r>
        <w:rPr>
          <w:rFonts w:hint="eastAsia" w:ascii="Times" w:hAnsi="Times" w:eastAsia="宋体" w:cs="Times"/>
          <w:b/>
          <w:bCs/>
          <w:sz w:val="20"/>
          <w:szCs w:val="20"/>
        </w:rPr>
        <w:t>2</w:t>
      </w:r>
    </w:p>
    <w:p>
      <w:pPr>
        <w:pStyle w:val="139"/>
        <w:numPr>
          <w:ilvl w:val="0"/>
          <w:numId w:val="18"/>
        </w:numPr>
        <w:snapToGrid w:val="0"/>
        <w:jc w:val="both"/>
        <w:rPr>
          <w:rFonts w:ascii="Times" w:hAnsi="Times" w:cs="Times"/>
          <w:sz w:val="20"/>
          <w:lang w:eastAsia="zh-CN"/>
        </w:rPr>
      </w:pPr>
      <w:r>
        <w:rPr>
          <w:rFonts w:hint="eastAsia" w:eastAsiaTheme="minorEastAsia"/>
          <w:bCs/>
          <w:iCs/>
          <w:color w:val="C00000"/>
          <w:sz w:val="20"/>
          <w:lang w:eastAsia="zh-CN"/>
        </w:rPr>
        <w:t>F</w:t>
      </w:r>
      <w:r>
        <w:rPr>
          <w:rFonts w:eastAsiaTheme="minorEastAsia"/>
          <w:bCs/>
          <w:iCs/>
          <w:color w:val="C00000"/>
          <w:sz w:val="20"/>
        </w:rPr>
        <w:t>or SRS bandwidth aggregation</w:t>
      </w:r>
      <w:r>
        <w:rPr>
          <w:rFonts w:hint="eastAsia" w:eastAsiaTheme="minorEastAsia"/>
          <w:bCs/>
          <w:iCs/>
          <w:color w:val="C00000"/>
          <w:sz w:val="20"/>
          <w:lang w:eastAsia="zh-CN"/>
        </w:rPr>
        <w:t>, s</w:t>
      </w:r>
      <w:r>
        <w:rPr>
          <w:rFonts w:ascii="Times" w:hAnsi="Times" w:cs="Times"/>
          <w:sz w:val="20"/>
          <w:lang w:eastAsia="zh-CN"/>
        </w:rPr>
        <w:t>upport LMF to request</w:t>
      </w:r>
      <w:r>
        <w:rPr>
          <w:rFonts w:hint="eastAsia" w:ascii="Times" w:hAnsi="Times" w:cs="Times"/>
          <w:sz w:val="20"/>
          <w:lang w:eastAsia="zh-CN"/>
        </w:rPr>
        <w:t xml:space="preserve"> </w:t>
      </w:r>
      <w:r>
        <w:rPr>
          <w:rFonts w:hint="eastAsia" w:ascii="Times" w:hAnsi="Times" w:cs="Times"/>
          <w:color w:val="C00000"/>
          <w:sz w:val="20"/>
          <w:lang w:eastAsia="zh-CN"/>
        </w:rPr>
        <w:t xml:space="preserve">serving and neighbor </w:t>
      </w:r>
      <w:r>
        <w:rPr>
          <w:rFonts w:ascii="Times" w:hAnsi="Times" w:cs="Times"/>
          <w:color w:val="C00000"/>
          <w:sz w:val="20"/>
          <w:lang w:eastAsia="zh-CN"/>
        </w:rPr>
        <w:t>gNB</w:t>
      </w:r>
      <w:r>
        <w:rPr>
          <w:rFonts w:hint="eastAsia" w:ascii="Times" w:hAnsi="Times" w:cs="Times"/>
          <w:sz w:val="20"/>
          <w:lang w:eastAsia="zh-CN"/>
        </w:rPr>
        <w:t>s</w:t>
      </w:r>
      <w:r>
        <w:rPr>
          <w:rFonts w:ascii="Times" w:hAnsi="Times" w:cs="Times"/>
          <w:sz w:val="20"/>
          <w:lang w:eastAsia="zh-CN"/>
        </w:rPr>
        <w:t xml:space="preserve"> which two or three carriers to be used for performing joint measurement</w:t>
      </w:r>
      <w:r>
        <w:rPr>
          <w:rFonts w:hint="eastAsia" w:ascii="Times" w:hAnsi="Times" w:cs="Times"/>
          <w:sz w:val="20"/>
          <w:lang w:eastAsia="zh-CN"/>
        </w:rPr>
        <w:t xml:space="preserve"> </w:t>
      </w:r>
    </w:p>
    <w:p>
      <w:pPr>
        <w:snapToGrid w:val="0"/>
        <w:rPr>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Nokia/NSB</w:t>
            </w:r>
          </w:p>
        </w:tc>
        <w:tc>
          <w:tcPr>
            <w:tcW w:w="7508" w:type="dxa"/>
            <w:vAlign w:val="center"/>
          </w:tcPr>
          <w:p>
            <w:pPr>
              <w:snapToGrid w:val="0"/>
              <w:rPr>
                <w:rFonts w:eastAsiaTheme="minorEastAsia"/>
                <w:bCs/>
                <w:iCs/>
                <w:sz w:val="18"/>
                <w:szCs w:val="18"/>
              </w:rPr>
            </w:pPr>
            <w:r>
              <w:rPr>
                <w:rFonts w:eastAsiaTheme="minorEastAsia"/>
                <w:bCs/>
                <w:iCs/>
                <w:sz w:val="18"/>
                <w:szCs w:val="18"/>
              </w:rPr>
              <w:t>Support.</w:t>
            </w:r>
          </w:p>
        </w:tc>
      </w:tr>
    </w:tbl>
    <w:p>
      <w:pPr>
        <w:snapToGrid w:val="0"/>
        <w:rPr>
          <w:lang w:val="en-GB"/>
        </w:rPr>
      </w:pPr>
    </w:p>
    <w:p>
      <w:pPr>
        <w:snapToGrid w:val="0"/>
        <w:rPr>
          <w:lang w:val="en-GB"/>
        </w:rPr>
      </w:pPr>
    </w:p>
    <w:p>
      <w:pPr>
        <w:snapToGrid w:val="0"/>
        <w:rPr>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Collision rule (Closed)</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1" w:hRule="atLeast"/>
        </w:trPr>
        <w:tc>
          <w:tcPr>
            <w:tcW w:w="1150" w:type="dxa"/>
          </w:tcPr>
          <w:p>
            <w:pPr>
              <w:tabs>
                <w:tab w:val="left" w:pos="1276"/>
              </w:tabs>
              <w:snapToGrid w:val="0"/>
              <w:rPr>
                <w:sz w:val="20"/>
                <w:szCs w:val="20"/>
                <w:lang w:val="en-GB"/>
              </w:rPr>
            </w:pPr>
            <w:r>
              <w:rPr>
                <w:rFonts w:hint="eastAsia"/>
                <w:sz w:val="20"/>
                <w:szCs w:val="20"/>
                <w:lang w:val="en-GB"/>
              </w:rPr>
              <w:t>vivo</w:t>
            </w:r>
          </w:p>
        </w:tc>
        <w:tc>
          <w:tcPr>
            <w:tcW w:w="8201" w:type="dxa"/>
          </w:tcPr>
          <w:p>
            <w:pPr>
              <w:snapToGrid w:val="0"/>
              <w:jc w:val="both"/>
              <w:rPr>
                <w:rFonts w:eastAsia="宋体"/>
                <w:sz w:val="20"/>
                <w:szCs w:val="20"/>
              </w:rPr>
            </w:pPr>
            <w:r>
              <w:rPr>
                <w:rFonts w:hint="eastAsia" w:eastAsia="宋体"/>
                <w:sz w:val="20"/>
                <w:szCs w:val="20"/>
              </w:rPr>
              <w:t>Proposal 6:</w:t>
            </w:r>
          </w:p>
          <w:p>
            <w:pPr>
              <w:numPr>
                <w:ilvl w:val="0"/>
                <w:numId w:val="7"/>
              </w:numPr>
              <w:spacing w:after="120" w:line="260" w:lineRule="exact"/>
              <w:jc w:val="both"/>
              <w:rPr>
                <w:rFonts w:eastAsia="宋体"/>
                <w:sz w:val="20"/>
                <w:szCs w:val="20"/>
              </w:rPr>
            </w:pPr>
            <w:r>
              <w:rPr>
                <w:rFonts w:hint="eastAsia" w:eastAsia="宋体"/>
                <w:sz w:val="20"/>
                <w:szCs w:val="20"/>
              </w:rPr>
              <w:t>For the case when PRS in one of aggregated PFLs is dropped, the single RSTD or single UE Rx-Tx time difference for the PRS resources across aggregated PFLs cannot be achieved</w:t>
            </w:r>
          </w:p>
          <w:p>
            <w:pPr>
              <w:numPr>
                <w:ilvl w:val="1"/>
                <w:numId w:val="7"/>
              </w:numPr>
              <w:spacing w:after="120" w:line="260" w:lineRule="exact"/>
              <w:jc w:val="both"/>
              <w:rPr>
                <w:rFonts w:eastAsia="宋体"/>
                <w:sz w:val="20"/>
                <w:szCs w:val="20"/>
              </w:rPr>
            </w:pPr>
            <w:r>
              <w:rPr>
                <w:rFonts w:hint="eastAsia"/>
                <w:sz w:val="20"/>
                <w:szCs w:val="20"/>
              </w:rPr>
              <w:t>Whether the PRS resource can be measured is related to PRS priority and up to UE, and the PRS resource that are measured from part of aggregated PFLs can be seen as the lowest priority compared to other PRS resources within the set that can be aggregated</w:t>
            </w:r>
            <w:r>
              <w:rPr>
                <w:rFonts w:hint="eastAsia" w:eastAsia="宋体"/>
                <w:sz w:val="20"/>
                <w:szCs w:val="20"/>
              </w:rPr>
              <w:t>.</w:t>
            </w:r>
          </w:p>
          <w:p>
            <w:pPr>
              <w:snapToGrid w:val="0"/>
              <w:jc w:val="both"/>
              <w:rPr>
                <w:rFonts w:eastAsia="宋体"/>
                <w:sz w:val="20"/>
                <w:szCs w:val="20"/>
              </w:rPr>
            </w:pPr>
            <w:r>
              <w:rPr>
                <w:rFonts w:hint="eastAsia" w:eastAsia="宋体"/>
                <w:sz w:val="20"/>
                <w:szCs w:val="20"/>
              </w:rPr>
              <w:t>Proposal 11:</w:t>
            </w:r>
          </w:p>
          <w:p>
            <w:pPr>
              <w:numPr>
                <w:ilvl w:val="0"/>
                <w:numId w:val="7"/>
              </w:numPr>
              <w:spacing w:after="120" w:line="260" w:lineRule="exact"/>
              <w:jc w:val="both"/>
              <w:rPr>
                <w:rFonts w:eastAsia="宋体"/>
                <w:sz w:val="20"/>
                <w:szCs w:val="20"/>
              </w:rPr>
            </w:pPr>
            <w:r>
              <w:rPr>
                <w:rFonts w:hint="eastAsia" w:eastAsia="宋体"/>
                <w:sz w:val="20"/>
                <w:szCs w:val="20"/>
              </w:rPr>
              <w:t>For positioning SRS bandwidth aggregation between SRS in two or three carriers, if the positioning SRS collides with another higher priority SRS in symbol(s)</w:t>
            </w:r>
          </w:p>
          <w:p>
            <w:pPr>
              <w:numPr>
                <w:ilvl w:val="1"/>
                <w:numId w:val="7"/>
              </w:numPr>
              <w:spacing w:after="120" w:line="260" w:lineRule="exact"/>
              <w:jc w:val="both"/>
              <w:rPr>
                <w:rFonts w:eastAsia="宋体"/>
                <w:sz w:val="20"/>
                <w:szCs w:val="20"/>
              </w:rPr>
            </w:pPr>
            <w:r>
              <w:rPr>
                <w:rFonts w:hint="eastAsia" w:eastAsia="宋体"/>
                <w:sz w:val="20"/>
                <w:szCs w:val="20"/>
              </w:rPr>
              <w:t xml:space="preserve"> The UE should drop the positioning SRS in all aggregated carriers in the symbol(s)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hint="eastAsia" w:eastAsia="宋体"/>
                <w:sz w:val="20"/>
                <w:szCs w:val="20"/>
              </w:rPr>
              <w:t>Qualcomm</w:t>
            </w:r>
          </w:p>
        </w:tc>
        <w:tc>
          <w:tcPr>
            <w:tcW w:w="8201" w:type="dxa"/>
          </w:tcPr>
          <w:p>
            <w:pPr>
              <w:rPr>
                <w:sz w:val="20"/>
                <w:szCs w:val="20"/>
              </w:rPr>
            </w:pPr>
            <w:r>
              <w:rPr>
                <w:rFonts w:hint="eastAsia"/>
                <w:sz w:val="20"/>
                <w:szCs w:val="20"/>
              </w:rPr>
              <w:t xml:space="preserve">Proposal 6: When the UE is requested aggregated measurements for 2 or 3 PFLs, for the case when PRS in one of aggregated PFL is dropped, e.g. because of collision with SSB, </w:t>
            </w:r>
          </w:p>
          <w:p>
            <w:pPr>
              <w:pStyle w:val="139"/>
              <w:numPr>
                <w:ilvl w:val="0"/>
                <w:numId w:val="33"/>
              </w:numPr>
              <w:spacing w:after="0"/>
              <w:rPr>
                <w:sz w:val="20"/>
              </w:rPr>
            </w:pPr>
            <w:r>
              <w:rPr>
                <w:rFonts w:hint="eastAsia"/>
                <w:sz w:val="20"/>
              </w:rPr>
              <w:t>A UE may optionally perform positioning measurement based on the remaining PRS resources in other PFLs</w:t>
            </w:r>
          </w:p>
          <w:p>
            <w:pPr>
              <w:pStyle w:val="139"/>
              <w:numPr>
                <w:ilvl w:val="1"/>
                <w:numId w:val="33"/>
              </w:numPr>
              <w:spacing w:after="0"/>
              <w:rPr>
                <w:sz w:val="20"/>
              </w:rPr>
            </w:pPr>
            <w:r>
              <w:rPr>
                <w:rFonts w:hint="eastAsia"/>
                <w:sz w:val="20"/>
              </w:rPr>
              <w:t xml:space="preserve">Note: No dedicated requirements are expected to be specified for such cases. </w:t>
            </w:r>
          </w:p>
          <w:p>
            <w:pPr>
              <w:snapToGrid w:val="0"/>
              <w:rPr>
                <w:sz w:val="20"/>
                <w:szCs w:val="20"/>
              </w:rPr>
            </w:pPr>
            <w:r>
              <w:rPr>
                <w:rFonts w:hint="eastAsia"/>
                <w:sz w:val="20"/>
                <w:szCs w:val="20"/>
              </w:rPr>
              <w:t>Proposal 13: For positioning SRS aggregation across CCs, if SRS in one of aggregated carriers is dropped in a symbol, SRS is still transmitted in other carriers in the same symbol</w:t>
            </w:r>
          </w:p>
          <w:p>
            <w:pPr>
              <w:pStyle w:val="139"/>
              <w:numPr>
                <w:ilvl w:val="0"/>
                <w:numId w:val="34"/>
              </w:numPr>
              <w:snapToGrid w:val="0"/>
              <w:spacing w:after="0"/>
              <w:rPr>
                <w:sz w:val="20"/>
              </w:rPr>
            </w:pPr>
            <w:r>
              <w:rPr>
                <w:rFonts w:hint="eastAsia"/>
                <w:sz w:val="20"/>
              </w:rPr>
              <w:t>Note: The UE shall not be expected to maintain phase continuity across the carriers</w:t>
            </w:r>
          </w:p>
          <w:p>
            <w:pPr>
              <w:pStyle w:val="139"/>
              <w:snapToGrid w:val="0"/>
              <w:spacing w:after="0"/>
              <w:ind w:left="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rFonts w:hint="eastAsia"/>
                <w:sz w:val="20"/>
                <w:szCs w:val="20"/>
              </w:rPr>
              <w:t>Nokia</w:t>
            </w:r>
          </w:p>
        </w:tc>
        <w:tc>
          <w:tcPr>
            <w:tcW w:w="8201" w:type="dxa"/>
            <w:vAlign w:val="center"/>
          </w:tcPr>
          <w:p>
            <w:pPr>
              <w:rPr>
                <w:sz w:val="20"/>
                <w:szCs w:val="20"/>
              </w:rPr>
            </w:pPr>
            <w:r>
              <w:rPr>
                <w:rFonts w:hint="eastAsia" w:eastAsiaTheme="minorEastAsia"/>
                <w:sz w:val="20"/>
                <w:szCs w:val="20"/>
              </w:rPr>
              <w:t xml:space="preserve">Proposal 4: Support Alt. 2: </w:t>
            </w:r>
            <w:r>
              <w:rPr>
                <w:rFonts w:hint="eastAsia"/>
                <w:sz w:val="20"/>
                <w:szCs w:val="20"/>
              </w:rPr>
              <w:t>Still perform positioning measurement based on the remaining PRSs in other PFL(s)</w:t>
            </w:r>
          </w:p>
          <w:p>
            <w:pPr>
              <w:spacing w:before="240"/>
              <w:rPr>
                <w:sz w:val="20"/>
                <w:szCs w:val="20"/>
              </w:rPr>
            </w:pPr>
            <w:r>
              <w:rPr>
                <w:rFonts w:hint="eastAsia"/>
                <w:sz w:val="20"/>
                <w:szCs w:val="20"/>
              </w:rPr>
              <w:t>Proposal 9: Support Alt.2: SRS is still transmitted in other carriers in the same symbol.</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hint="eastAsia" w:eastAsia="宋体"/>
                <w:sz w:val="20"/>
                <w:szCs w:val="20"/>
              </w:rPr>
              <w:t>OPPO</w:t>
            </w:r>
          </w:p>
        </w:tc>
        <w:tc>
          <w:tcPr>
            <w:tcW w:w="8201" w:type="dxa"/>
            <w:vAlign w:val="center"/>
          </w:tcPr>
          <w:p>
            <w:pPr>
              <w:pStyle w:val="112"/>
              <w:snapToGrid w:val="0"/>
              <w:spacing w:before="0" w:after="0" w:line="240" w:lineRule="auto"/>
              <w:rPr>
                <w:b w:val="0"/>
                <w:bCs w:val="0"/>
                <w:i w:val="0"/>
                <w:iCs w:val="0"/>
                <w:szCs w:val="20"/>
              </w:rPr>
            </w:pPr>
            <w:r>
              <w:rPr>
                <w:rFonts w:hint="eastAsia"/>
                <w:b w:val="0"/>
                <w:bCs w:val="0"/>
                <w:i w:val="0"/>
                <w:iCs w:val="0"/>
                <w:szCs w:val="20"/>
              </w:rPr>
              <w:t xml:space="preserve">Proposal 3: It is up to UE implementation to </w:t>
            </w:r>
            <w:bookmarkStart w:id="51" w:name="OLE_LINK45"/>
            <w:r>
              <w:rPr>
                <w:rFonts w:hint="eastAsia"/>
                <w:b w:val="0"/>
                <w:bCs w:val="0"/>
                <w:i w:val="0"/>
                <w:iCs w:val="0"/>
                <w:szCs w:val="20"/>
              </w:rPr>
              <w:t>perform positioning measurement based on one or more of the PRS resources in the aggregated PFLs</w:t>
            </w:r>
            <w:bookmarkEnd w:id="51"/>
            <w:r>
              <w:rPr>
                <w:rFonts w:hint="eastAsia"/>
                <w:b w:val="0"/>
                <w:bCs w:val="0"/>
                <w:i w:val="0"/>
                <w:iCs w:val="0"/>
                <w:szCs w:val="20"/>
              </w:rPr>
              <w:t>.</w:t>
            </w:r>
          </w:p>
          <w:p>
            <w:pPr>
              <w:pStyle w:val="112"/>
              <w:rPr>
                <w:b w:val="0"/>
                <w:bCs w:val="0"/>
                <w:i w:val="0"/>
                <w:iCs w:val="0"/>
                <w:szCs w:val="20"/>
              </w:rPr>
            </w:pPr>
            <w:bookmarkStart w:id="52" w:name="_Hlk134566346"/>
            <w:r>
              <w:rPr>
                <w:rFonts w:hint="eastAsia"/>
                <w:b w:val="0"/>
                <w:bCs w:val="0"/>
                <w:i w:val="0"/>
                <w:iCs w:val="0"/>
                <w:szCs w:val="20"/>
              </w:rPr>
              <w:t>Proposal 6: Support Alt2 for the case that SRS in one of aggregated carriers is dropped due to some reason.</w:t>
            </w:r>
            <w:bookmarkEnd w:id="5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hint="eastAsia" w:eastAsia="宋体"/>
                <w:sz w:val="20"/>
                <w:szCs w:val="20"/>
              </w:rPr>
              <w:t>Huawei</w:t>
            </w:r>
          </w:p>
        </w:tc>
        <w:tc>
          <w:tcPr>
            <w:tcW w:w="8201" w:type="dxa"/>
            <w:vAlign w:val="center"/>
          </w:tcPr>
          <w:p>
            <w:pPr>
              <w:rPr>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6</w:t>
            </w:r>
            <w:r>
              <w:rPr>
                <w:rFonts w:hint="eastAsia"/>
                <w:sz w:val="20"/>
                <w:szCs w:val="20"/>
              </w:rPr>
              <w:fldChar w:fldCharType="end"/>
            </w:r>
            <w:r>
              <w:rPr>
                <w:rFonts w:hint="eastAsia"/>
                <w:sz w:val="20"/>
                <w:szCs w:val="20"/>
              </w:rPr>
              <w:t>: For the case when PRS in one of aggregated PFLs is dropped, drop positioning measurement on the remaining aggregated PFLs in the same symbol(s).</w:t>
            </w:r>
          </w:p>
          <w:p>
            <w:pPr>
              <w:spacing w:before="180" w:beforeLines="50"/>
              <w:rPr>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9</w:t>
            </w:r>
            <w:r>
              <w:rPr>
                <w:rFonts w:hint="eastAsia"/>
                <w:sz w:val="20"/>
                <w:szCs w:val="20"/>
              </w:rPr>
              <w:fldChar w:fldCharType="end"/>
            </w:r>
            <w:r>
              <w:rPr>
                <w:rFonts w:hint="eastAsia"/>
                <w:sz w:val="20"/>
                <w:szCs w:val="20"/>
              </w:rPr>
              <w:t>: For the case when SRS in one of aggregated carriers is dropped, SRS transmission over all other aggregated carriers in the symbol(s) is dropped for RRC_CONNECTED state as that agreed for RRC_INACTIVE state.</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hint="eastAsia" w:eastAsia="宋体"/>
                <w:sz w:val="20"/>
                <w:szCs w:val="20"/>
              </w:rPr>
              <w:t>CMCC</w:t>
            </w:r>
          </w:p>
        </w:tc>
        <w:tc>
          <w:tcPr>
            <w:tcW w:w="8201" w:type="dxa"/>
            <w:vAlign w:val="center"/>
          </w:tcPr>
          <w:p>
            <w:pPr>
              <w:spacing w:before="180" w:beforeLines="50" w:line="288" w:lineRule="auto"/>
              <w:jc w:val="both"/>
              <w:rPr>
                <w:sz w:val="20"/>
                <w:szCs w:val="20"/>
              </w:rPr>
            </w:pPr>
            <w:r>
              <w:rPr>
                <w:rFonts w:hint="eastAsia"/>
                <w:sz w:val="20"/>
                <w:szCs w:val="20"/>
              </w:rPr>
              <w:t>Proposal 4: For the case when PRS in one of aggregated PFL is dropped for UEs in RRC_CONNECETD and RRC_IDLE states, support the following:</w:t>
            </w:r>
          </w:p>
          <w:p>
            <w:pPr>
              <w:pStyle w:val="144"/>
              <w:numPr>
                <w:ilvl w:val="0"/>
                <w:numId w:val="11"/>
              </w:numPr>
              <w:ind w:left="709"/>
              <w:rPr>
                <w:sz w:val="20"/>
                <w:szCs w:val="20"/>
              </w:rPr>
            </w:pPr>
            <w:r>
              <w:rPr>
                <w:rFonts w:hint="eastAsia"/>
                <w:sz w:val="20"/>
                <w:szCs w:val="20"/>
              </w:rPr>
              <w:t xml:space="preserve">Alt. 1: Drop </w:t>
            </w:r>
            <w:r>
              <w:rPr>
                <w:rFonts w:hint="eastAsia"/>
                <w:sz w:val="20"/>
                <w:szCs w:val="20"/>
                <w:lang w:val="en-GB"/>
              </w:rPr>
              <w:t>positioning</w:t>
            </w:r>
            <w:r>
              <w:rPr>
                <w:rFonts w:hint="eastAsia"/>
                <w:sz w:val="20"/>
                <w:szCs w:val="20"/>
              </w:rPr>
              <w:t xml:space="preserve"> measurement in all aggregated PFLs in the same symbol(s)</w:t>
            </w:r>
          </w:p>
          <w:p>
            <w:pPr>
              <w:spacing w:before="180" w:beforeLines="50" w:line="288" w:lineRule="auto"/>
              <w:jc w:val="both"/>
              <w:rPr>
                <w:sz w:val="20"/>
                <w:szCs w:val="20"/>
              </w:rPr>
            </w:pPr>
            <w:r>
              <w:rPr>
                <w:rFonts w:hint="eastAsia"/>
                <w:sz w:val="20"/>
                <w:szCs w:val="20"/>
              </w:rPr>
              <w:t>Proposal 8: For positioning SRS aggregation transmission in RRC_CONNECTED states, support the following:</w:t>
            </w:r>
          </w:p>
          <w:p>
            <w:pPr>
              <w:pStyle w:val="144"/>
              <w:numPr>
                <w:ilvl w:val="0"/>
                <w:numId w:val="11"/>
              </w:numPr>
              <w:ind w:left="709"/>
              <w:rPr>
                <w:sz w:val="20"/>
                <w:szCs w:val="20"/>
              </w:rPr>
            </w:pPr>
            <w:r>
              <w:rPr>
                <w:rFonts w:hint="eastAsia"/>
                <w:sz w:val="20"/>
                <w:szCs w:val="20"/>
              </w:rPr>
              <w:t>Alt. 1: Stop SRS transmission in all aggregated carriers in the same symbol.</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hint="eastAsia" w:eastAsia="宋体"/>
                <w:sz w:val="20"/>
                <w:szCs w:val="20"/>
              </w:rPr>
              <w:t>CATT</w:t>
            </w:r>
          </w:p>
        </w:tc>
        <w:tc>
          <w:tcPr>
            <w:tcW w:w="8201" w:type="dxa"/>
            <w:vAlign w:val="center"/>
          </w:tcPr>
          <w:p>
            <w:pPr>
              <w:spacing w:after="120"/>
              <w:jc w:val="both"/>
              <w:rPr>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MERGEFORMAT </w:instrText>
            </w:r>
            <w:r>
              <w:rPr>
                <w:rFonts w:hint="eastAsia"/>
                <w:sz w:val="20"/>
                <w:szCs w:val="20"/>
              </w:rPr>
              <w:fldChar w:fldCharType="separate"/>
            </w:r>
            <w:r>
              <w:rPr>
                <w:rFonts w:hint="eastAsia"/>
                <w:sz w:val="20"/>
                <w:szCs w:val="20"/>
              </w:rPr>
              <w:t>4</w:t>
            </w:r>
            <w:r>
              <w:rPr>
                <w:rFonts w:hint="eastAsia"/>
                <w:sz w:val="20"/>
                <w:szCs w:val="20"/>
              </w:rPr>
              <w:fldChar w:fldCharType="end"/>
            </w:r>
            <w:r>
              <w:rPr>
                <w:rFonts w:hint="eastAsia" w:eastAsiaTheme="minorEastAsia"/>
                <w:sz w:val="20"/>
                <w:szCs w:val="20"/>
              </w:rPr>
              <w:t>:</w:t>
            </w:r>
            <w:r>
              <w:rPr>
                <w:rFonts w:hint="eastAsia"/>
                <w:sz w:val="20"/>
                <w:szCs w:val="20"/>
                <w:lang w:eastAsia="en-GB"/>
              </w:rPr>
              <w:t xml:space="preserve"> </w:t>
            </w:r>
            <w:r>
              <w:rPr>
                <w:rFonts w:hint="eastAsia"/>
                <w:sz w:val="20"/>
                <w:szCs w:val="20"/>
              </w:rPr>
              <w:t>In the case of UL bandwidth aggregation scenarios in RRC_CONNECTED state, if the SRS resources of different PFLs/carriers are not transmitted simultaneously (e.g., if SRS in one of the aggregated carriers is dropped in a symbol), the SRS transmission in all aggregated carriers in the same symbol can be dropped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rFonts w:hint="eastAsia"/>
                <w:sz w:val="20"/>
                <w:szCs w:val="20"/>
              </w:rPr>
              <w:t>InterDigital</w:t>
            </w:r>
          </w:p>
        </w:tc>
        <w:tc>
          <w:tcPr>
            <w:tcW w:w="8201" w:type="dxa"/>
            <w:vAlign w:val="center"/>
          </w:tcPr>
          <w:p>
            <w:pPr>
              <w:spacing w:before="240"/>
              <w:rPr>
                <w:sz w:val="20"/>
                <w:szCs w:val="20"/>
              </w:rPr>
            </w:pPr>
            <w:r>
              <w:rPr>
                <w:rFonts w:hint="eastAsia"/>
                <w:sz w:val="20"/>
                <w:szCs w:val="20"/>
              </w:rPr>
              <w:t>Proposal 5: Support configuration of the default frequency layer to perform measurements on after PRS bandwidth aggregation is disabled</w:t>
            </w:r>
          </w:p>
          <w:p>
            <w:pPr>
              <w:spacing w:before="240"/>
              <w:rPr>
                <w:sz w:val="20"/>
                <w:szCs w:val="20"/>
              </w:rPr>
            </w:pPr>
            <w:r>
              <w:rPr>
                <w:rFonts w:hint="eastAsia"/>
                <w:sz w:val="20"/>
                <w:szCs w:val="20"/>
              </w:rPr>
              <w:t>Proposal 6: When PRS in one of aggregated PFL is dropped, adopt Alt. 2, “Alt. 2: Still perform positioning measurement based on the remaining PRSs in other PFL(s)”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50" w:type="dxa"/>
            <w:vAlign w:val="center"/>
          </w:tcPr>
          <w:p>
            <w:pPr>
              <w:tabs>
                <w:tab w:val="left" w:pos="1276"/>
              </w:tabs>
              <w:snapToGrid w:val="0"/>
              <w:rPr>
                <w:sz w:val="20"/>
                <w:szCs w:val="20"/>
              </w:rPr>
            </w:pPr>
            <w:r>
              <w:rPr>
                <w:rFonts w:hint="eastAsia"/>
                <w:sz w:val="20"/>
                <w:szCs w:val="20"/>
              </w:rPr>
              <w:t>Apple</w:t>
            </w:r>
          </w:p>
        </w:tc>
        <w:tc>
          <w:tcPr>
            <w:tcW w:w="8201" w:type="dxa"/>
            <w:vAlign w:val="center"/>
          </w:tcPr>
          <w:p>
            <w:pPr>
              <w:jc w:val="both"/>
              <w:rPr>
                <w:sz w:val="20"/>
                <w:szCs w:val="20"/>
              </w:rPr>
            </w:pPr>
            <w:r>
              <w:rPr>
                <w:rFonts w:hint="eastAsia"/>
                <w:sz w:val="20"/>
                <w:szCs w:val="20"/>
              </w:rPr>
              <w:t>Proposal 3: For measurement and feedback with PRS bandwidth aggregation:</w:t>
            </w:r>
          </w:p>
          <w:p>
            <w:pPr>
              <w:pStyle w:val="139"/>
              <w:numPr>
                <w:ilvl w:val="0"/>
                <w:numId w:val="26"/>
              </w:numPr>
              <w:jc w:val="both"/>
              <w:rPr>
                <w:sz w:val="20"/>
              </w:rPr>
            </w:pPr>
            <w:r>
              <w:rPr>
                <w:rFonts w:hint="eastAsia"/>
                <w:sz w:val="20"/>
              </w:rPr>
              <w:t>The RSRP and RSRPP reports may include signaling that indicates if they are measured per PFL, jointly or both.</w:t>
            </w:r>
          </w:p>
          <w:p>
            <w:pPr>
              <w:pStyle w:val="139"/>
              <w:numPr>
                <w:ilvl w:val="1"/>
                <w:numId w:val="26"/>
              </w:numPr>
              <w:jc w:val="both"/>
              <w:rPr>
                <w:sz w:val="20"/>
              </w:rPr>
            </w:pPr>
            <w:r>
              <w:rPr>
                <w:rFonts w:hint="eastAsia"/>
                <w:sz w:val="20"/>
              </w:rPr>
              <w:t>the single RSRP/RSRPP is based on aggregated PRS resources across aggregated PFLs</w:t>
            </w:r>
          </w:p>
          <w:p>
            <w:pPr>
              <w:pStyle w:val="139"/>
              <w:numPr>
                <w:ilvl w:val="0"/>
                <w:numId w:val="26"/>
              </w:numPr>
              <w:jc w:val="both"/>
              <w:rPr>
                <w:sz w:val="20"/>
              </w:rPr>
            </w:pPr>
            <w:r>
              <w:rPr>
                <w:rFonts w:hint="eastAsia"/>
                <w:sz w:val="20"/>
              </w:rPr>
              <w:t xml:space="preserve">For the case when the PRS in one of aggregated PFL is dropped, e.g. because of collision with SSB, the default UE </w:t>
            </w:r>
            <w:r>
              <w:rPr>
                <w:rFonts w:hint="eastAsia"/>
                <w:sz w:val="20"/>
              </w:rPr>
              <w:pgNum/>
            </w:r>
            <w:r>
              <w:rPr>
                <w:rFonts w:hint="eastAsia"/>
                <w:sz w:val="20"/>
              </w:rPr>
              <w:t xml:space="preserve">ehaviou is to drop positioning measurement in all aggregated PFLs in the same symbol(s). </w:t>
            </w:r>
          </w:p>
          <w:p>
            <w:pPr>
              <w:pStyle w:val="139"/>
              <w:numPr>
                <w:ilvl w:val="0"/>
                <w:numId w:val="26"/>
              </w:numPr>
              <w:jc w:val="both"/>
              <w:rPr>
                <w:sz w:val="20"/>
              </w:rPr>
            </w:pPr>
            <w:r>
              <w:rPr>
                <w:rFonts w:hint="eastAsia"/>
                <w:sz w:val="20"/>
              </w:rPr>
              <w:t xml:space="preserve">To enhance the configuration and measurement for RSTD, the UE may be configured to measure and report, subject to UE capability, up to 4 DL RSTD measurements per pair of  dl-PRS-IDs associated with </w:t>
            </w:r>
            <w:r>
              <w:rPr>
                <w:rFonts w:hint="eastAsia"/>
                <w:color w:val="FF0000"/>
                <w:sz w:val="20"/>
              </w:rPr>
              <w:t xml:space="preserve">a set of aggregated PLFs </w:t>
            </w:r>
            <w:r>
              <w:rPr>
                <w:rFonts w:hint="eastAsia"/>
                <w:sz w:val="20"/>
              </w:rPr>
              <w:t xml:space="preserve">with each measurement between a different pair of DL PRS resources associated with the set of </w:t>
            </w:r>
            <w:r>
              <w:rPr>
                <w:rFonts w:hint="eastAsia"/>
                <w:color w:val="FF0000"/>
                <w:sz w:val="20"/>
              </w:rPr>
              <w:t>a set of aggregated PLFs</w:t>
            </w:r>
            <w:r>
              <w:rPr>
                <w:rFonts w:hint="eastAsia"/>
                <w:sz w:val="20"/>
              </w:rPr>
              <w:t xml:space="preserve"> or DL PRS resource sets associated </w:t>
            </w:r>
            <w:r>
              <w:rPr>
                <w:rFonts w:hint="eastAsia"/>
                <w:color w:val="FF0000"/>
                <w:sz w:val="20"/>
              </w:rPr>
              <w:t xml:space="preserve">a set of aggregated PLFs </w:t>
            </w:r>
            <w:r>
              <w:rPr>
                <w:rFonts w:hint="eastAsia"/>
                <w:sz w:val="20"/>
              </w:rPr>
              <w:t>within the DL PRS configured for those dl-PRS-IDs.</w:t>
            </w:r>
          </w:p>
          <w:p>
            <w:pPr>
              <w:pStyle w:val="139"/>
              <w:numPr>
                <w:ilvl w:val="0"/>
                <w:numId w:val="26"/>
              </w:numPr>
              <w:jc w:val="both"/>
              <w:rPr>
                <w:sz w:val="20"/>
              </w:rPr>
            </w:pPr>
            <w:r>
              <w:rPr>
                <w:rFonts w:hint="eastAsia"/>
                <w:sz w:val="20"/>
              </w:rPr>
              <w:t>The measurement gap pattern may also need to be modified to accommodate the increased measurement requirements.</w:t>
            </w:r>
          </w:p>
          <w:p>
            <w:pPr>
              <w:jc w:val="both"/>
              <w:rPr>
                <w:sz w:val="20"/>
                <w:szCs w:val="20"/>
              </w:rPr>
            </w:pPr>
            <w:r>
              <w:rPr>
                <w:rFonts w:hint="eastAsia"/>
                <w:sz w:val="20"/>
                <w:szCs w:val="20"/>
              </w:rPr>
              <w:t xml:space="preserve">Proposal 7: RAN1 should review PRS processing prioritization with SSB transmission when the PFLs are on different cells with different SSB timings. One possible solution is that  for PRS aggregation across multiple cells, the UE does not expect that the SSB transmission should interrupt the DL PRS differently on each cell.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hint="eastAsia" w:eastAsia="宋体"/>
                <w:sz w:val="20"/>
                <w:szCs w:val="20"/>
              </w:rPr>
              <w:t>MTK</w:t>
            </w:r>
          </w:p>
        </w:tc>
        <w:tc>
          <w:tcPr>
            <w:tcW w:w="8201" w:type="dxa"/>
            <w:vAlign w:val="center"/>
          </w:tcPr>
          <w:p>
            <w:pPr>
              <w:jc w:val="both"/>
              <w:rPr>
                <w:sz w:val="20"/>
                <w:szCs w:val="20"/>
              </w:rPr>
            </w:pPr>
            <w:r>
              <w:rPr>
                <w:rFonts w:hint="eastAsia"/>
                <w:sz w:val="20"/>
                <w:szCs w:val="20"/>
              </w:rPr>
              <w:t>Proposal 3-1: The SRS across carriers is dropped together in the symbols where the collision occurs in any carrier</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rFonts w:hint="eastAsia" w:eastAsia="宋体"/>
                <w:sz w:val="20"/>
                <w:szCs w:val="20"/>
              </w:rPr>
              <w:t>x</w:t>
            </w:r>
            <w:r>
              <w:rPr>
                <w:rFonts w:hint="eastAsia"/>
                <w:sz w:val="20"/>
                <w:szCs w:val="20"/>
              </w:rPr>
              <w:t>iaomi</w:t>
            </w:r>
          </w:p>
        </w:tc>
        <w:tc>
          <w:tcPr>
            <w:tcW w:w="8201" w:type="dxa"/>
            <w:vAlign w:val="center"/>
          </w:tcPr>
          <w:p>
            <w:pPr>
              <w:pStyle w:val="114"/>
              <w:snapToGrid w:val="0"/>
              <w:spacing w:before="0" w:after="120" w:line="259" w:lineRule="auto"/>
              <w:rPr>
                <w:rFonts w:eastAsiaTheme="minorEastAsia"/>
                <w:sz w:val="20"/>
                <w:szCs w:val="20"/>
              </w:rPr>
            </w:pPr>
            <w:r>
              <w:rPr>
                <w:rFonts w:hint="eastAsia" w:eastAsiaTheme="minorEastAsia"/>
                <w:sz w:val="20"/>
                <w:szCs w:val="20"/>
              </w:rPr>
              <w:t>Proposal 3:</w:t>
            </w:r>
            <w:r>
              <w:rPr>
                <w:rFonts w:hint="eastAsia"/>
                <w:sz w:val="20"/>
                <w:szCs w:val="20"/>
              </w:rPr>
              <w:t xml:space="preserve"> </w:t>
            </w:r>
            <w:r>
              <w:rPr>
                <w:rFonts w:hint="eastAsia" w:eastAsiaTheme="minorEastAsia"/>
                <w:sz w:val="20"/>
                <w:szCs w:val="20"/>
              </w:rPr>
              <w:t>We slightly prefer to support alt.2, and whether the measurement results will be used for positioning is up to NW.</w:t>
            </w:r>
          </w:p>
          <w:p>
            <w:pPr>
              <w:rPr>
                <w:rFonts w:eastAsia="宋体"/>
                <w:sz w:val="20"/>
                <w:szCs w:val="20"/>
              </w:rPr>
            </w:pPr>
            <w:r>
              <w:rPr>
                <w:rFonts w:hint="eastAsia" w:eastAsia="宋体"/>
                <w:sz w:val="20"/>
                <w:szCs w:val="20"/>
              </w:rPr>
              <w:t>Proposal 12: We prefer to support alt.2 that</w:t>
            </w:r>
            <w:r>
              <w:rPr>
                <w:rFonts w:hint="eastAsia"/>
                <w:sz w:val="20"/>
                <w:szCs w:val="20"/>
              </w:rPr>
              <w:t xml:space="preserve"> </w:t>
            </w:r>
            <w:r>
              <w:rPr>
                <w:rFonts w:hint="eastAsia" w:eastAsia="宋体"/>
                <w:sz w:val="20"/>
                <w:szCs w:val="20"/>
              </w:rPr>
              <w:t>SRS is still transmitted in other carriers in the same symbol, at least for RRC_CONNECTED state.</w:t>
            </w:r>
          </w:p>
          <w:p>
            <w:pPr>
              <w:pStyle w:val="114"/>
              <w:snapToGrid w:val="0"/>
              <w:spacing w:before="0" w:after="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sz w:val="20"/>
                <w:szCs w:val="20"/>
              </w:rPr>
            </w:pPr>
            <w:r>
              <w:rPr>
                <w:rFonts w:hint="eastAsia"/>
                <w:sz w:val="20"/>
                <w:szCs w:val="20"/>
              </w:rPr>
              <w:t>Intel</w:t>
            </w:r>
          </w:p>
        </w:tc>
        <w:tc>
          <w:tcPr>
            <w:tcW w:w="8201" w:type="dxa"/>
            <w:vAlign w:val="center"/>
          </w:tcPr>
          <w:p>
            <w:pPr>
              <w:snapToGrid w:val="0"/>
              <w:jc w:val="both"/>
              <w:rPr>
                <w:rFonts w:eastAsia="宋体"/>
                <w:sz w:val="20"/>
                <w:szCs w:val="20"/>
              </w:rPr>
            </w:pPr>
            <w:r>
              <w:rPr>
                <w:rFonts w:hint="eastAsia"/>
                <w:sz w:val="20"/>
                <w:szCs w:val="20"/>
              </w:rPr>
              <w:t xml:space="preserve">Proposal </w:t>
            </w:r>
            <w:r>
              <w:rPr>
                <w:rFonts w:hint="eastAsia" w:eastAsia="宋体"/>
                <w:sz w:val="20"/>
                <w:szCs w:val="20"/>
              </w:rPr>
              <w:t>2</w:t>
            </w:r>
          </w:p>
          <w:p>
            <w:pPr>
              <w:numPr>
                <w:ilvl w:val="0"/>
                <w:numId w:val="8"/>
              </w:numPr>
              <w:spacing w:before="60"/>
              <w:ind w:left="288" w:hanging="288"/>
              <w:jc w:val="both"/>
              <w:rPr>
                <w:sz w:val="20"/>
                <w:szCs w:val="20"/>
              </w:rPr>
            </w:pPr>
            <w:r>
              <w:rPr>
                <w:rFonts w:hint="eastAsia"/>
                <w:sz w:val="20"/>
                <w:szCs w:val="20"/>
              </w:rPr>
              <w:t xml:space="preserve">In case PRS in one of aggregated PFLs is dropped, UE continues to perform positioning measurement in the remaining PRSs in other PFLs and reports the corresponding measurements.  </w:t>
            </w:r>
          </w:p>
          <w:p>
            <w:pPr>
              <w:spacing w:before="240"/>
              <w:jc w:val="both"/>
              <w:rPr>
                <w:sz w:val="20"/>
                <w:szCs w:val="20"/>
              </w:rPr>
            </w:pPr>
            <w:r>
              <w:rPr>
                <w:rFonts w:hint="eastAsia"/>
                <w:sz w:val="20"/>
                <w:szCs w:val="20"/>
              </w:rPr>
              <w:t>Proposal 4</w:t>
            </w:r>
          </w:p>
          <w:p>
            <w:pPr>
              <w:numPr>
                <w:ilvl w:val="0"/>
                <w:numId w:val="8"/>
              </w:numPr>
              <w:spacing w:before="60"/>
              <w:ind w:left="288" w:hanging="288"/>
              <w:jc w:val="both"/>
              <w:rPr>
                <w:sz w:val="20"/>
                <w:szCs w:val="20"/>
              </w:rPr>
            </w:pPr>
            <w:r>
              <w:rPr>
                <w:rFonts w:hint="eastAsia"/>
                <w:sz w:val="20"/>
                <w:szCs w:val="20"/>
              </w:rPr>
              <w:t xml:space="preserve">If SRS in one of aggregated carriers is dropped in a symbol, SRS is still transmitted in other carriers in the same symbol.  UE may not maintain phase continuity across the remaining carriers. </w:t>
            </w:r>
          </w:p>
          <w:p>
            <w:pPr>
              <w:overflowPunct w:val="0"/>
              <w:autoSpaceDE w:val="0"/>
              <w:adjustRightInd w:val="0"/>
              <w:snapToGrid w:val="0"/>
              <w:jc w:val="both"/>
              <w:textAlignment w:val="baseline"/>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hint="eastAsia" w:eastAsia="宋体"/>
                <w:sz w:val="20"/>
                <w:szCs w:val="20"/>
              </w:rPr>
              <w:t>ZTE</w:t>
            </w:r>
          </w:p>
        </w:tc>
        <w:tc>
          <w:tcPr>
            <w:tcW w:w="8201" w:type="dxa"/>
            <w:vAlign w:val="center"/>
          </w:tcPr>
          <w:p>
            <w:pPr>
              <w:snapToGrid w:val="0"/>
              <w:rPr>
                <w:rFonts w:eastAsia="宋体"/>
                <w:sz w:val="20"/>
                <w:szCs w:val="20"/>
              </w:rPr>
            </w:pPr>
            <w:bookmarkStart w:id="53" w:name="OLE_LINK26"/>
            <w:r>
              <w:rPr>
                <w:rFonts w:hint="eastAsia"/>
                <w:sz w:val="20"/>
                <w:szCs w:val="20"/>
              </w:rPr>
              <w:t>Proposal 4: For the case when PRS in one of aggregated PFL is dropped</w:t>
            </w:r>
            <w:r>
              <w:rPr>
                <w:rFonts w:hint="eastAsia" w:eastAsia="宋体"/>
                <w:sz w:val="20"/>
                <w:szCs w:val="20"/>
              </w:rPr>
              <w:t xml:space="preserve"> </w:t>
            </w:r>
            <w:r>
              <w:rPr>
                <w:rFonts w:hint="eastAsia"/>
                <w:sz w:val="20"/>
                <w:szCs w:val="20"/>
              </w:rPr>
              <w:t xml:space="preserve">because of collision with </w:t>
            </w:r>
            <w:r>
              <w:rPr>
                <w:rFonts w:hint="eastAsia" w:eastAsia="宋体"/>
                <w:sz w:val="20"/>
                <w:szCs w:val="20"/>
              </w:rPr>
              <w:t>other signals,</w:t>
            </w:r>
            <w:r>
              <w:rPr>
                <w:rFonts w:hint="eastAsia"/>
                <w:sz w:val="20"/>
                <w:szCs w:val="20"/>
              </w:rPr>
              <w:t xml:space="preserve"> for LMF based positioni</w:t>
            </w:r>
            <w:r>
              <w:rPr>
                <w:rFonts w:hint="eastAsia" w:eastAsia="宋体"/>
                <w:sz w:val="20"/>
                <w:szCs w:val="20"/>
              </w:rPr>
              <w:t>ng</w:t>
            </w:r>
          </w:p>
          <w:p>
            <w:pPr>
              <w:pStyle w:val="139"/>
              <w:numPr>
                <w:ilvl w:val="0"/>
                <w:numId w:val="13"/>
              </w:numPr>
              <w:snapToGrid w:val="0"/>
              <w:rPr>
                <w:sz w:val="20"/>
              </w:rPr>
            </w:pPr>
            <w:r>
              <w:rPr>
                <w:rFonts w:hint="eastAsia" w:eastAsiaTheme="minorEastAsia"/>
                <w:sz w:val="20"/>
                <w:lang w:val="en-GB"/>
              </w:rPr>
              <w:t>UE is not required to perform positioning measurement based on the remaining PRSs in other PFL(s)</w:t>
            </w:r>
          </w:p>
          <w:bookmarkEnd w:id="53"/>
          <w:p>
            <w:pPr>
              <w:snapToGrid w:val="0"/>
              <w:jc w:val="both"/>
              <w:rPr>
                <w:sz w:val="20"/>
                <w:szCs w:val="20"/>
              </w:rPr>
            </w:pPr>
            <w:r>
              <w:rPr>
                <w:rFonts w:hint="eastAsia"/>
                <w:sz w:val="20"/>
                <w:szCs w:val="20"/>
              </w:rPr>
              <w:t xml:space="preserve">Proposal 5: For SRS aggregation transmission in RRC_CONNECTED mode, </w:t>
            </w:r>
            <w:r>
              <w:rPr>
                <w:rFonts w:hint="eastAsia" w:eastAsia="宋体"/>
                <w:sz w:val="20"/>
                <w:szCs w:val="20"/>
              </w:rPr>
              <w:t>when</w:t>
            </w:r>
            <w:r>
              <w:rPr>
                <w:rFonts w:hint="eastAsia"/>
                <w:sz w:val="20"/>
                <w:szCs w:val="20"/>
              </w:rPr>
              <w:t xml:space="preserve"> SRS transmission in one of aggregated carriers is dropped in a symbol because of collision with other signals or channels, SRS is dropped in the symbol of all aggregated carriers. </w:t>
            </w:r>
          </w:p>
          <w:p>
            <w:pPr>
              <w:pStyle w:val="139"/>
              <w:snapToGrid w:val="0"/>
              <w:spacing w:after="0"/>
              <w:ind w:left="0"/>
              <w:jc w:val="both"/>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hint="eastAsia" w:eastAsia="宋体"/>
                <w:sz w:val="20"/>
                <w:szCs w:val="20"/>
              </w:rPr>
              <w:t>Samsung</w:t>
            </w:r>
          </w:p>
        </w:tc>
        <w:tc>
          <w:tcPr>
            <w:tcW w:w="8201" w:type="dxa"/>
            <w:vAlign w:val="center"/>
          </w:tcPr>
          <w:p>
            <w:pPr>
              <w:ind w:firstLine="231"/>
              <w:rPr>
                <w:sz w:val="20"/>
                <w:szCs w:val="20"/>
                <w:lang w:eastAsia="ja-JP"/>
              </w:rPr>
            </w:pPr>
            <w:r>
              <w:rPr>
                <w:rFonts w:hint="eastAsia" w:eastAsia="等线"/>
                <w:sz w:val="20"/>
                <w:szCs w:val="20"/>
              </w:rPr>
              <w:t xml:space="preserve"> </w:t>
            </w:r>
            <w:r>
              <w:rPr>
                <w:rFonts w:hint="eastAsia"/>
                <w:sz w:val="20"/>
                <w:szCs w:val="20"/>
                <w:lang w:eastAsia="ja-JP"/>
              </w:rPr>
              <w:t>Proposal 4: If the UE determines the presence of another higher priority SRS and/or other DL signals/channels later than the guard period before the start of the aggregated SRS transmission in RRC_CONNECTED state, the SRS should be still transmitted in other non-collide carriers in the same symbol.</w:t>
            </w:r>
          </w:p>
          <w:p>
            <w:pPr>
              <w:ind w:firstLine="231"/>
              <w:rPr>
                <w:rFonts w:eastAsia="等线"/>
                <w:sz w:val="20"/>
                <w:szCs w:val="20"/>
              </w:rPr>
            </w:pPr>
            <w:r>
              <w:rPr>
                <w:rFonts w:hint="eastAsia"/>
                <w:sz w:val="20"/>
                <w:szCs w:val="20"/>
                <w:lang w:eastAsia="ja-JP"/>
              </w:rPr>
              <w:t>Proposal 5: When SRS in one of aggregated carriers is dropped if the SRS resource instance collides with other DL signals/channels and and/or another higher priority SRS, if the remaining CCs are contiguous, the positioning measurement should be performed in a bandwidth aggregation way when the ratio between the remaining CCs and all aggregated carriers larger enough.</w:t>
            </w:r>
            <w:r>
              <w:rPr>
                <w:rFonts w:hint="eastAsia"/>
                <w:sz w:val="20"/>
                <w:szCs w:val="20"/>
              </w:rPr>
              <w:t xml:space="preserve"> </w:t>
            </w:r>
            <w:r>
              <w:rPr>
                <w:rFonts w:hint="eastAsia"/>
                <w:sz w:val="20"/>
                <w:szCs w:val="20"/>
                <w:lang w:eastAsia="ja-JP"/>
              </w:rPr>
              <w:t>If the remaining CCs are non-contiguous, the SRS should be transmitted in a CC with larger bandwidth when the ratio between the selected CC and all aggregated carriers is larger enough.</w:t>
            </w:r>
          </w:p>
          <w:p>
            <w:pPr>
              <w:ind w:firstLine="231"/>
              <w:rPr>
                <w:sz w:val="20"/>
                <w:szCs w:val="20"/>
                <w:lang w:eastAsia="ja-JP"/>
              </w:rPr>
            </w:pPr>
            <w:r>
              <w:rPr>
                <w:rFonts w:hint="eastAsia"/>
                <w:sz w:val="20"/>
                <w:szCs w:val="20"/>
                <w:lang w:eastAsia="ja-JP"/>
              </w:rPr>
              <w:t xml:space="preserve">Proposal 6: When the PRS collision with other DL signals/channels including SSB across multiple PFLs in RRC_INACTIVE state, PRS should be dropped </w:t>
            </w:r>
            <w:bookmarkStart w:id="54" w:name="_Hlk142043633"/>
            <w:r>
              <w:rPr>
                <w:rFonts w:hint="eastAsia"/>
                <w:sz w:val="20"/>
                <w:szCs w:val="20"/>
                <w:lang w:eastAsia="ja-JP"/>
              </w:rPr>
              <w:t>in the symbol(s)</w:t>
            </w:r>
            <w:bookmarkEnd w:id="54"/>
            <w:r>
              <w:rPr>
                <w:rFonts w:hint="eastAsia"/>
                <w:sz w:val="20"/>
                <w:szCs w:val="20"/>
                <w:lang w:eastAsia="ja-JP"/>
              </w:rPr>
              <w:t xml:space="preserve"> of all aggregated PFLs.</w:t>
            </w:r>
          </w:p>
          <w:p>
            <w:pPr>
              <w:ind w:firstLine="231"/>
              <w:rPr>
                <w:sz w:val="20"/>
                <w:szCs w:val="20"/>
                <w:lang w:eastAsia="ja-JP"/>
              </w:rPr>
            </w:pPr>
            <w:r>
              <w:rPr>
                <w:rFonts w:hint="eastAsia"/>
                <w:sz w:val="20"/>
                <w:szCs w:val="20"/>
                <w:lang w:eastAsia="ja-JP"/>
              </w:rPr>
              <w:t>Proposal 7: When the PRS collision with other DL signals/channels including SSB across multiple PFLs in RRC_CONNECTED state,</w:t>
            </w:r>
            <w:r>
              <w:rPr>
                <w:rFonts w:hint="eastAsia"/>
                <w:sz w:val="20"/>
                <w:szCs w:val="20"/>
              </w:rPr>
              <w:t xml:space="preserve"> </w:t>
            </w:r>
            <w:r>
              <w:rPr>
                <w:rFonts w:hint="eastAsia"/>
                <w:sz w:val="20"/>
                <w:szCs w:val="20"/>
                <w:lang w:eastAsia="ja-JP"/>
              </w:rPr>
              <w:t>the UE should still perform positioning measurement based on the remaining PRSs in the symbol(s) in the remaining PFLs.</w:t>
            </w:r>
          </w:p>
          <w:p>
            <w:pPr>
              <w:spacing w:after="120"/>
              <w:ind w:firstLine="216"/>
              <w:rPr>
                <w:sz w:val="20"/>
                <w:szCs w:val="20"/>
                <w:lang w:eastAsia="ja-JP"/>
              </w:rPr>
            </w:pPr>
            <w:r>
              <w:rPr>
                <w:rFonts w:hint="eastAsia"/>
                <w:sz w:val="20"/>
                <w:szCs w:val="20"/>
                <w:lang w:eastAsia="ja-JP"/>
              </w:rPr>
              <w:t>Proposal 8: When PRS in one of aggregated PFLs is dropped if the PRS resource instance collides with other DL signals/channels including SSB, if the remaining PFLs are contiguous, the positioning measurement should be performed in a bandwidth aggregation way when the ratio between the remaining PFLs and all aggregated PFLs is larger enough. If the remaining PFLs are non-contiguous, the positioning measurement should be performed in a PFL with larger bandwidth when the ratio between the selected PFL and all aggregated PFLs is larger enough.</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sz w:val="20"/>
                <w:szCs w:val="20"/>
              </w:rPr>
            </w:pPr>
            <w:r>
              <w:rPr>
                <w:rFonts w:hint="eastAsia" w:eastAsia="宋体"/>
                <w:sz w:val="20"/>
                <w:szCs w:val="20"/>
              </w:rPr>
              <w:t>DOCOMO</w:t>
            </w:r>
          </w:p>
        </w:tc>
        <w:tc>
          <w:tcPr>
            <w:tcW w:w="8201" w:type="dxa"/>
            <w:vAlign w:val="center"/>
          </w:tcPr>
          <w:p>
            <w:pPr>
              <w:spacing w:after="180" w:afterLines="50"/>
              <w:rPr>
                <w:sz w:val="20"/>
                <w:szCs w:val="20"/>
              </w:rPr>
            </w:pPr>
            <w:r>
              <w:rPr>
                <w:rFonts w:hint="eastAsia"/>
                <w:sz w:val="20"/>
                <w:szCs w:val="20"/>
              </w:rPr>
              <w:t xml:space="preserve">Proposal 2: </w:t>
            </w:r>
          </w:p>
          <w:p>
            <w:pPr>
              <w:pStyle w:val="139"/>
              <w:numPr>
                <w:ilvl w:val="0"/>
                <w:numId w:val="23"/>
              </w:numPr>
              <w:spacing w:afterLines="50"/>
              <w:rPr>
                <w:sz w:val="20"/>
              </w:rPr>
            </w:pPr>
            <w:r>
              <w:rPr>
                <w:rFonts w:hint="eastAsia"/>
                <w:sz w:val="20"/>
              </w:rPr>
              <w:t>Support the following alternatives:</w:t>
            </w:r>
          </w:p>
          <w:p>
            <w:pPr>
              <w:pStyle w:val="139"/>
              <w:numPr>
                <w:ilvl w:val="1"/>
                <w:numId w:val="23"/>
              </w:numPr>
              <w:rPr>
                <w:sz w:val="20"/>
              </w:rPr>
            </w:pPr>
            <w:r>
              <w:rPr>
                <w:rFonts w:hint="eastAsia"/>
                <w:sz w:val="20"/>
              </w:rPr>
              <w:t>When PRS in one of aggregated PFL is dropped,</w:t>
            </w:r>
          </w:p>
          <w:p>
            <w:pPr>
              <w:pStyle w:val="139"/>
              <w:numPr>
                <w:ilvl w:val="2"/>
                <w:numId w:val="23"/>
              </w:numPr>
              <w:rPr>
                <w:sz w:val="20"/>
              </w:rPr>
            </w:pPr>
            <w:r>
              <w:rPr>
                <w:rFonts w:hint="eastAsia"/>
                <w:sz w:val="20"/>
              </w:rPr>
              <w:t>Alt. 2: Still perform positioning measurement based on the remaining PRSs in other PFL(s)</w:t>
            </w:r>
          </w:p>
          <w:p>
            <w:pPr>
              <w:pStyle w:val="139"/>
              <w:numPr>
                <w:ilvl w:val="1"/>
                <w:numId w:val="23"/>
              </w:numPr>
              <w:rPr>
                <w:sz w:val="20"/>
              </w:rPr>
            </w:pPr>
            <w:r>
              <w:rPr>
                <w:rFonts w:hint="eastAsia"/>
                <w:sz w:val="20"/>
              </w:rPr>
              <w:t>When SRS in one of aggregated carriers is dropped in a symbol in RRC_CONNECTED state,</w:t>
            </w:r>
          </w:p>
          <w:p>
            <w:pPr>
              <w:pStyle w:val="139"/>
              <w:numPr>
                <w:ilvl w:val="2"/>
                <w:numId w:val="23"/>
              </w:numPr>
              <w:rPr>
                <w:sz w:val="20"/>
              </w:rPr>
            </w:pPr>
            <w:r>
              <w:rPr>
                <w:rFonts w:hint="eastAsia"/>
                <w:sz w:val="20"/>
              </w:rPr>
              <w:t>Alt. 2: SRS is still transmitted in other carriers in the same symbol</w:t>
            </w:r>
          </w:p>
          <w:p>
            <w:pPr>
              <w:pStyle w:val="139"/>
              <w:numPr>
                <w:ilvl w:val="2"/>
                <w:numId w:val="23"/>
              </w:numPr>
              <w:snapToGrid w:val="0"/>
              <w:spacing w:after="0"/>
              <w:rPr>
                <w:sz w:val="20"/>
                <w:lang w:eastAsia="zh-CN"/>
              </w:rPr>
            </w:pPr>
          </w:p>
        </w:tc>
      </w:tr>
    </w:tbl>
    <w:p>
      <w:pPr>
        <w:snapToGrid w:val="0"/>
      </w:pPr>
    </w:p>
    <w:p>
      <w:pPr>
        <w:snapToGrid w:val="0"/>
        <w:spacing w:before="180" w:beforeLines="50" w:after="180" w:afterLines="50"/>
        <w:jc w:val="both"/>
        <w:rPr>
          <w:iCs/>
          <w:sz w:val="20"/>
          <w:szCs w:val="20"/>
        </w:rPr>
      </w:pPr>
      <w:r>
        <w:rPr>
          <w:iCs/>
          <w:sz w:val="20"/>
          <w:szCs w:val="20"/>
        </w:rPr>
        <w:t>The following agreement has been agreed in RAN1#112</w:t>
      </w:r>
      <w:r>
        <w:rPr>
          <w:rFonts w:hint="eastAsia" w:eastAsia="宋体"/>
          <w:iCs/>
          <w:sz w:val="20"/>
          <w:szCs w:val="20"/>
        </w:rPr>
        <w:t>bis-e</w:t>
      </w:r>
      <w:r>
        <w:rPr>
          <w:iCs/>
          <w:sz w:val="20"/>
          <w:szCs w:val="20"/>
        </w:rPr>
        <w:t xml:space="preserve"> meeting.</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rFonts w:hint="eastAsia"/>
                <w:b/>
                <w:bCs/>
                <w:sz w:val="20"/>
                <w:szCs w:val="20"/>
                <w:u w:val="single"/>
              </w:rPr>
              <w:t>Agreement</w:t>
            </w:r>
            <w:r>
              <w:rPr>
                <w:rFonts w:hint="eastAsia" w:eastAsia="宋体"/>
                <w:b/>
                <w:bCs/>
                <w:sz w:val="20"/>
                <w:szCs w:val="20"/>
                <w:u w:val="single"/>
              </w:rPr>
              <w:t xml:space="preserve"> in RAN1#112bis</w:t>
            </w:r>
          </w:p>
          <w:p>
            <w:pPr>
              <w:snapToGrid w:val="0"/>
              <w:rPr>
                <w:sz w:val="20"/>
                <w:szCs w:val="20"/>
              </w:rPr>
            </w:pPr>
            <w:bookmarkStart w:id="55" w:name="OLE_LINK43"/>
            <w:r>
              <w:rPr>
                <w:rFonts w:hint="eastAsia"/>
                <w:sz w:val="20"/>
                <w:szCs w:val="20"/>
              </w:rPr>
              <w:t>For the case when PRS in one of aggregated PFL is dropped</w:t>
            </w:r>
            <w:bookmarkEnd w:id="55"/>
            <w:r>
              <w:rPr>
                <w:rFonts w:hint="eastAsia"/>
                <w:sz w:val="20"/>
                <w:szCs w:val="20"/>
              </w:rPr>
              <w:t>, e.g. because of collision with SSB, select one of the following solutions for LMF based positioning</w:t>
            </w:r>
          </w:p>
          <w:p>
            <w:pPr>
              <w:numPr>
                <w:ilvl w:val="0"/>
                <w:numId w:val="12"/>
              </w:numPr>
              <w:snapToGrid w:val="0"/>
              <w:rPr>
                <w:sz w:val="20"/>
                <w:szCs w:val="20"/>
              </w:rPr>
            </w:pPr>
            <w:r>
              <w:rPr>
                <w:rFonts w:hint="eastAsia"/>
                <w:sz w:val="20"/>
                <w:szCs w:val="20"/>
              </w:rPr>
              <w:t>Alt. 1: Drop positioning measurement in all aggregated PFLs in the same symbol(s)</w:t>
            </w:r>
          </w:p>
          <w:p>
            <w:pPr>
              <w:numPr>
                <w:ilvl w:val="0"/>
                <w:numId w:val="12"/>
              </w:numPr>
              <w:snapToGrid w:val="0"/>
              <w:rPr>
                <w:sz w:val="20"/>
                <w:szCs w:val="20"/>
              </w:rPr>
            </w:pPr>
            <w:r>
              <w:rPr>
                <w:rFonts w:hint="eastAsia"/>
                <w:sz w:val="20"/>
                <w:szCs w:val="20"/>
              </w:rPr>
              <w:t>Alt. 2: Still perform positioning measurement based on the remaining PRSs in other PFL(s)</w:t>
            </w:r>
          </w:p>
          <w:p>
            <w:pPr>
              <w:numPr>
                <w:ilvl w:val="0"/>
                <w:numId w:val="12"/>
              </w:numPr>
              <w:snapToGrid w:val="0"/>
              <w:rPr>
                <w:sz w:val="20"/>
                <w:szCs w:val="20"/>
              </w:rPr>
            </w:pPr>
            <w:r>
              <w:rPr>
                <w:rFonts w:hint="eastAsia"/>
                <w:sz w:val="20"/>
                <w:szCs w:val="20"/>
              </w:rPr>
              <w:t>FFS the details and the difference between MG and PPW if PPW is supported</w:t>
            </w:r>
          </w:p>
          <w:p>
            <w:pPr>
              <w:numPr>
                <w:ilvl w:val="1"/>
                <w:numId w:val="12"/>
              </w:numPr>
              <w:snapToGrid w:val="0"/>
              <w:ind w:left="1140" w:hanging="363"/>
              <w:contextualSpacing/>
              <w:jc w:val="both"/>
              <w:rPr>
                <w:rFonts w:eastAsia="宋体"/>
                <w:sz w:val="20"/>
                <w:szCs w:val="20"/>
              </w:rPr>
            </w:pPr>
            <w:r>
              <w:rPr>
                <w:rFonts w:hint="eastAsia"/>
                <w:sz w:val="20"/>
                <w:szCs w:val="20"/>
              </w:rPr>
              <w:t>Note: Up to RAN4 to discuss impact on requirements, if any, for such cases</w:t>
            </w:r>
          </w:p>
          <w:p>
            <w:pPr>
              <w:snapToGrid w:val="0"/>
              <w:contextualSpacing/>
              <w:jc w:val="both"/>
              <w:rPr>
                <w:sz w:val="20"/>
                <w:szCs w:val="20"/>
              </w:rPr>
            </w:pPr>
          </w:p>
          <w:p>
            <w:pPr>
              <w:snapToGrid w:val="0"/>
              <w:jc w:val="both"/>
              <w:rPr>
                <w:b/>
                <w:bCs/>
                <w:sz w:val="20"/>
                <w:szCs w:val="20"/>
                <w:u w:val="single"/>
              </w:rPr>
            </w:pPr>
            <w:r>
              <w:rPr>
                <w:rFonts w:hint="eastAsia"/>
                <w:b/>
                <w:bCs/>
                <w:sz w:val="20"/>
                <w:szCs w:val="20"/>
                <w:u w:val="single"/>
              </w:rPr>
              <w:t>Agreement in RAN1#112bis</w:t>
            </w:r>
          </w:p>
          <w:p>
            <w:pPr>
              <w:snapToGrid w:val="0"/>
              <w:rPr>
                <w:sz w:val="20"/>
                <w:szCs w:val="20"/>
              </w:rPr>
            </w:pPr>
            <w:r>
              <w:rPr>
                <w:rFonts w:hint="eastAsia"/>
                <w:sz w:val="20"/>
                <w:szCs w:val="20"/>
              </w:rPr>
              <w:t>F</w:t>
            </w:r>
            <w:bookmarkStart w:id="56" w:name="OLE_LINK44"/>
            <w:r>
              <w:rPr>
                <w:rFonts w:hint="eastAsia"/>
                <w:sz w:val="20"/>
                <w:szCs w:val="20"/>
              </w:rPr>
              <w:t>or positioning SRS aggregation across CCs,</w:t>
            </w:r>
            <w:r>
              <w:rPr>
                <w:rFonts w:hint="eastAsia"/>
                <w:i/>
                <w:sz w:val="20"/>
                <w:szCs w:val="20"/>
              </w:rPr>
              <w:t xml:space="preserve"> </w:t>
            </w:r>
            <w:r>
              <w:rPr>
                <w:rFonts w:hint="eastAsia"/>
                <w:sz w:val="20"/>
                <w:szCs w:val="20"/>
              </w:rPr>
              <w:t>if SRS in one of aggregated carriers is dropped in a symbol</w:t>
            </w:r>
            <w:bookmarkEnd w:id="56"/>
            <w:r>
              <w:rPr>
                <w:rFonts w:hint="eastAsia"/>
                <w:sz w:val="20"/>
                <w:szCs w:val="20"/>
              </w:rPr>
              <w:t>, select one of the following two options:</w:t>
            </w:r>
          </w:p>
          <w:p>
            <w:pPr>
              <w:pStyle w:val="114"/>
              <w:numPr>
                <w:ilvl w:val="0"/>
                <w:numId w:val="35"/>
              </w:numPr>
              <w:snapToGrid w:val="0"/>
              <w:spacing w:before="0" w:after="0"/>
              <w:rPr>
                <w:sz w:val="20"/>
                <w:szCs w:val="20"/>
              </w:rPr>
            </w:pPr>
            <w:r>
              <w:rPr>
                <w:rFonts w:hint="eastAsia"/>
                <w:sz w:val="20"/>
                <w:szCs w:val="20"/>
              </w:rPr>
              <w:t>Alt. 1: Stop SRS transmission in all aggregated carriers in the same symbol</w:t>
            </w:r>
          </w:p>
          <w:p>
            <w:pPr>
              <w:pStyle w:val="114"/>
              <w:numPr>
                <w:ilvl w:val="0"/>
                <w:numId w:val="35"/>
              </w:numPr>
              <w:snapToGrid w:val="0"/>
              <w:spacing w:before="0" w:after="0"/>
              <w:rPr>
                <w:sz w:val="20"/>
                <w:szCs w:val="20"/>
              </w:rPr>
            </w:pPr>
            <w:r>
              <w:rPr>
                <w:rFonts w:hint="eastAsia"/>
                <w:sz w:val="20"/>
                <w:szCs w:val="20"/>
              </w:rPr>
              <w:t>Alt. 2: SRS is still transmitted in other carriers in the same symbol</w:t>
            </w:r>
          </w:p>
          <w:p>
            <w:pPr>
              <w:pStyle w:val="114"/>
              <w:numPr>
                <w:ilvl w:val="1"/>
                <w:numId w:val="35"/>
              </w:numPr>
              <w:snapToGrid w:val="0"/>
              <w:spacing w:before="0" w:after="0"/>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4"/>
              <w:numPr>
                <w:ilvl w:val="0"/>
                <w:numId w:val="35"/>
              </w:numPr>
              <w:snapToGrid w:val="0"/>
              <w:spacing w:before="0" w:after="0"/>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pStyle w:val="114"/>
              <w:snapToGrid w:val="0"/>
              <w:spacing w:before="0" w:after="0"/>
              <w:rPr>
                <w:sz w:val="20"/>
                <w:szCs w:val="20"/>
              </w:rPr>
            </w:pPr>
          </w:p>
          <w:p>
            <w:pPr>
              <w:snapToGrid w:val="0"/>
              <w:jc w:val="both"/>
              <w:rPr>
                <w:b/>
                <w:bCs/>
                <w:sz w:val="20"/>
                <w:szCs w:val="20"/>
                <w:u w:val="single"/>
              </w:rPr>
            </w:pPr>
            <w:r>
              <w:rPr>
                <w:rFonts w:hint="eastAsia"/>
                <w:b/>
                <w:bCs/>
                <w:sz w:val="20"/>
                <w:szCs w:val="20"/>
                <w:u w:val="single"/>
              </w:rPr>
              <w:t>Agreement in RAN1#113</w:t>
            </w:r>
          </w:p>
          <w:p>
            <w:pPr>
              <w:rPr>
                <w:sz w:val="20"/>
                <w:szCs w:val="20"/>
              </w:rPr>
            </w:pPr>
            <w:r>
              <w:rPr>
                <w:rFonts w:hint="eastAsia"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114"/>
              <w:snapToGrid w:val="0"/>
              <w:spacing w:before="0" w:after="0"/>
              <w:rPr>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80" w:beforeLines="50" w:after="180" w:afterLines="50"/>
        <w:jc w:val="both"/>
        <w:rPr>
          <w:b/>
          <w:sz w:val="20"/>
          <w:szCs w:val="20"/>
          <w:lang w:val="en-GB"/>
        </w:rPr>
      </w:pPr>
      <w:r>
        <w:rPr>
          <w:b/>
          <w:sz w:val="20"/>
          <w:szCs w:val="20"/>
          <w:lang w:val="en-GB"/>
        </w:rPr>
        <w:t xml:space="preserve">FL comments: </w:t>
      </w:r>
    </w:p>
    <w:p>
      <w:pPr>
        <w:snapToGrid w:val="0"/>
        <w:spacing w:before="180" w:beforeLines="50" w:after="180" w:afterLines="50"/>
        <w:jc w:val="both"/>
        <w:rPr>
          <w:rFonts w:eastAsia="宋体"/>
          <w:bCs/>
          <w:sz w:val="20"/>
          <w:lang w:bidi="ar"/>
        </w:rPr>
      </w:pPr>
      <w:r>
        <w:rPr>
          <w:rFonts w:hint="eastAsia" w:eastAsia="宋体"/>
          <w:bCs/>
          <w:sz w:val="20"/>
          <w:szCs w:val="20"/>
        </w:rPr>
        <w:t xml:space="preserve">For SRS aggregation in RRC_INACTIVE state, it has been agreed the </w:t>
      </w:r>
      <w:r>
        <w:rPr>
          <w:rFonts w:eastAsia="Batang"/>
          <w:bCs/>
          <w:sz w:val="20"/>
          <w:lang w:bidi="ar"/>
        </w:rPr>
        <w:t>SRS is dropped in the symbol(s) of all aggregated carriers where collision occur</w:t>
      </w:r>
      <w:r>
        <w:rPr>
          <w:rFonts w:hint="eastAsia" w:eastAsia="宋体"/>
          <w:bCs/>
          <w:sz w:val="20"/>
          <w:lang w:bidi="ar"/>
        </w:rPr>
        <w:t xml:space="preserve">s. The remaining issues are for DL PRS collision rule for both RRC_CONNECTED and RRC_INACTIVE state, and for SRS collision rule for RRC_CONNECTED state. </w:t>
      </w:r>
    </w:p>
    <w:p>
      <w:pPr>
        <w:snapToGrid w:val="0"/>
        <w:rPr>
          <w:rFonts w:eastAsia="宋体"/>
          <w:bCs/>
          <w:sz w:val="20"/>
          <w:szCs w:val="20"/>
        </w:rPr>
      </w:pPr>
      <w:r>
        <w:rPr>
          <w:rFonts w:hint="eastAsia" w:eastAsia="宋体"/>
          <w:bCs/>
          <w:sz w:val="20"/>
          <w:szCs w:val="20"/>
        </w:rPr>
        <w:t>Companies</w:t>
      </w:r>
      <w:r>
        <w:rPr>
          <w:rFonts w:eastAsia="宋体"/>
          <w:bCs/>
          <w:sz w:val="20"/>
          <w:szCs w:val="20"/>
        </w:rPr>
        <w:t>’</w:t>
      </w:r>
      <w:r>
        <w:rPr>
          <w:rFonts w:hint="eastAsia" w:eastAsia="宋体"/>
          <w:bCs/>
          <w:sz w:val="20"/>
          <w:szCs w:val="20"/>
        </w:rPr>
        <w:t xml:space="preserve"> preferences are listed here where proponents of Alt.1 is for simplicity and proposals of Alt.2 is for more efficiency. </w:t>
      </w:r>
    </w:p>
    <w:p>
      <w:pPr>
        <w:snapToGrid w:val="0"/>
        <w:rPr>
          <w:rFonts w:eastAsia="宋体"/>
          <w:bCs/>
          <w:sz w:val="20"/>
          <w:szCs w:val="20"/>
        </w:rPr>
      </w:pPr>
    </w:p>
    <w:p>
      <w:pPr>
        <w:snapToGrid w:val="0"/>
        <w:rPr>
          <w:rFonts w:eastAsia="宋体"/>
          <w:bCs/>
          <w:sz w:val="20"/>
          <w:szCs w:val="20"/>
        </w:rPr>
      </w:pPr>
      <w:r>
        <w:rPr>
          <w:sz w:val="20"/>
          <w:szCs w:val="20"/>
        </w:rPr>
        <w:t>For the case when PRS in one of aggregated PFL is dropped</w:t>
      </w:r>
      <w:r>
        <w:rPr>
          <w:rFonts w:hint="eastAsia" w:eastAsia="宋体"/>
          <w:sz w:val="20"/>
          <w:szCs w:val="20"/>
        </w:rPr>
        <w:t xml:space="preserve">: </w:t>
      </w:r>
    </w:p>
    <w:p>
      <w:pPr>
        <w:numPr>
          <w:ilvl w:val="0"/>
          <w:numId w:val="12"/>
        </w:numPr>
        <w:snapToGrid w:val="0"/>
        <w:rPr>
          <w:sz w:val="20"/>
          <w:szCs w:val="20"/>
        </w:rPr>
      </w:pPr>
      <w:r>
        <w:rPr>
          <w:sz w:val="20"/>
          <w:szCs w:val="20"/>
        </w:rPr>
        <w:t xml:space="preserve">Alt. 1: </w:t>
      </w:r>
    </w:p>
    <w:p>
      <w:pPr>
        <w:numPr>
          <w:ilvl w:val="1"/>
          <w:numId w:val="12"/>
        </w:numPr>
        <w:snapToGrid w:val="0"/>
        <w:rPr>
          <w:sz w:val="20"/>
          <w:szCs w:val="20"/>
        </w:rPr>
      </w:pPr>
      <w:r>
        <w:rPr>
          <w:rFonts w:hint="eastAsia" w:eastAsia="宋体"/>
          <w:sz w:val="20"/>
          <w:szCs w:val="20"/>
        </w:rPr>
        <w:t>Huawei, CMCC, ZTE, Samsung(for RRC_INACTIVE)), Apple</w:t>
      </w:r>
    </w:p>
    <w:p>
      <w:pPr>
        <w:numPr>
          <w:ilvl w:val="0"/>
          <w:numId w:val="12"/>
        </w:numPr>
        <w:snapToGrid w:val="0"/>
        <w:rPr>
          <w:sz w:val="20"/>
          <w:szCs w:val="20"/>
        </w:rPr>
      </w:pPr>
      <w:r>
        <w:rPr>
          <w:sz w:val="20"/>
          <w:szCs w:val="20"/>
        </w:rPr>
        <w:t xml:space="preserve">Alt. 2: </w:t>
      </w:r>
    </w:p>
    <w:p>
      <w:pPr>
        <w:numPr>
          <w:ilvl w:val="1"/>
          <w:numId w:val="12"/>
        </w:numPr>
        <w:snapToGrid w:val="0"/>
        <w:rPr>
          <w:sz w:val="20"/>
          <w:szCs w:val="20"/>
        </w:rPr>
      </w:pPr>
      <w:r>
        <w:rPr>
          <w:rFonts w:hint="eastAsia" w:eastAsia="宋体"/>
          <w:sz w:val="20"/>
          <w:szCs w:val="20"/>
        </w:rPr>
        <w:t>Intel, Qulacomm, Nokia, xiaomi , Samsung(for RRC_CONNECTED), DOCOMO, InterDigital</w:t>
      </w:r>
    </w:p>
    <w:p>
      <w:pPr>
        <w:numPr>
          <w:ilvl w:val="0"/>
          <w:numId w:val="12"/>
        </w:numPr>
        <w:snapToGrid w:val="0"/>
        <w:rPr>
          <w:sz w:val="20"/>
          <w:szCs w:val="20"/>
        </w:rPr>
      </w:pPr>
      <w:r>
        <w:rPr>
          <w:rFonts w:hint="eastAsia" w:eastAsia="宋体"/>
          <w:sz w:val="20"/>
          <w:szCs w:val="20"/>
        </w:rPr>
        <w:t>Alt. 3: It is up to implementation</w:t>
      </w:r>
    </w:p>
    <w:p>
      <w:pPr>
        <w:numPr>
          <w:ilvl w:val="1"/>
          <w:numId w:val="12"/>
        </w:numPr>
        <w:snapToGrid w:val="0"/>
        <w:rPr>
          <w:sz w:val="20"/>
          <w:szCs w:val="20"/>
        </w:rPr>
      </w:pPr>
      <w:r>
        <w:rPr>
          <w:rFonts w:hint="eastAsia" w:eastAsia="宋体"/>
          <w:sz w:val="20"/>
          <w:szCs w:val="20"/>
        </w:rPr>
        <w:t>vivo, OPPO</w:t>
      </w:r>
    </w:p>
    <w:p>
      <w:pPr>
        <w:snapToGrid w:val="0"/>
        <w:rPr>
          <w:bCs/>
          <w:sz w:val="20"/>
          <w:szCs w:val="20"/>
        </w:rPr>
      </w:pPr>
    </w:p>
    <w:p>
      <w:pPr>
        <w:snapToGrid w:val="0"/>
        <w:rPr>
          <w:rFonts w:eastAsia="宋体"/>
          <w:bCs/>
          <w:sz w:val="20"/>
          <w:szCs w:val="20"/>
        </w:rPr>
      </w:pPr>
      <w:r>
        <w:rPr>
          <w:rFonts w:hint="eastAsia" w:eastAsia="宋体"/>
          <w:sz w:val="20"/>
          <w:szCs w:val="20"/>
        </w:rPr>
        <w:t>F</w:t>
      </w:r>
      <w:r>
        <w:rPr>
          <w:sz w:val="20"/>
          <w:szCs w:val="20"/>
        </w:rPr>
        <w:t>or positioning SRS aggregation across CCs</w:t>
      </w:r>
      <w:r>
        <w:rPr>
          <w:rFonts w:hint="eastAsia" w:eastAsia="宋体"/>
          <w:sz w:val="20"/>
          <w:szCs w:val="20"/>
        </w:rPr>
        <w:t xml:space="preserve"> </w:t>
      </w:r>
      <w:r>
        <w:rPr>
          <w:rFonts w:hint="eastAsia" w:eastAsia="宋体"/>
          <w:bCs/>
          <w:sz w:val="20"/>
          <w:szCs w:val="20"/>
        </w:rPr>
        <w:t>in RRC_CONNECTED</w:t>
      </w:r>
      <w:r>
        <w:rPr>
          <w:sz w:val="20"/>
          <w:szCs w:val="20"/>
        </w:rPr>
        <w:t>,</w:t>
      </w:r>
      <w:r>
        <w:rPr>
          <w:i/>
          <w:sz w:val="20"/>
          <w:szCs w:val="20"/>
        </w:rPr>
        <w:t xml:space="preserve"> </w:t>
      </w:r>
      <w:r>
        <w:rPr>
          <w:sz w:val="20"/>
          <w:szCs w:val="20"/>
        </w:rPr>
        <w:t>if SRS in one of aggregated carriers is dropped in a symbol</w:t>
      </w:r>
      <w:r>
        <w:rPr>
          <w:rFonts w:hint="eastAsia" w:eastAsia="宋体"/>
          <w:bCs/>
          <w:sz w:val="20"/>
          <w:szCs w:val="20"/>
        </w:rPr>
        <w:t xml:space="preserve"> </w:t>
      </w:r>
    </w:p>
    <w:p>
      <w:pPr>
        <w:numPr>
          <w:ilvl w:val="0"/>
          <w:numId w:val="12"/>
        </w:numPr>
        <w:snapToGrid w:val="0"/>
        <w:rPr>
          <w:sz w:val="20"/>
          <w:szCs w:val="20"/>
        </w:rPr>
      </w:pPr>
      <w:r>
        <w:rPr>
          <w:sz w:val="20"/>
          <w:szCs w:val="20"/>
        </w:rPr>
        <w:t xml:space="preserve">Alt. 1: </w:t>
      </w:r>
      <w:r>
        <w:rPr>
          <w:rFonts w:hint="eastAsia" w:eastAsia="宋体"/>
          <w:sz w:val="20"/>
          <w:szCs w:val="20"/>
        </w:rPr>
        <w:t>Huawei, CMCC, vivo, CATT, ZTE, MTK</w:t>
      </w:r>
    </w:p>
    <w:p>
      <w:pPr>
        <w:numPr>
          <w:ilvl w:val="0"/>
          <w:numId w:val="12"/>
        </w:numPr>
        <w:snapToGrid w:val="0"/>
        <w:rPr>
          <w:sz w:val="20"/>
          <w:szCs w:val="20"/>
        </w:rPr>
      </w:pPr>
      <w:r>
        <w:rPr>
          <w:sz w:val="20"/>
          <w:szCs w:val="20"/>
        </w:rPr>
        <w:t xml:space="preserve">Alt. 2: </w:t>
      </w:r>
      <w:r>
        <w:rPr>
          <w:rFonts w:hint="eastAsia" w:eastAsia="宋体"/>
          <w:sz w:val="20"/>
          <w:szCs w:val="20"/>
        </w:rPr>
        <w:t>Intel, Qulacomm, Nokia, xiaomi , Samsung, DOCOMO, OPPO</w:t>
      </w:r>
    </w:p>
    <w:p>
      <w:pPr>
        <w:snapToGrid w:val="0"/>
        <w:rPr>
          <w:bCs/>
          <w:sz w:val="20"/>
          <w:szCs w:val="20"/>
        </w:rPr>
      </w:pPr>
    </w:p>
    <w:p>
      <w:pPr>
        <w:snapToGrid w:val="0"/>
        <w:jc w:val="both"/>
        <w:rPr>
          <w:rFonts w:eastAsia="宋体"/>
          <w:sz w:val="20"/>
          <w:szCs w:val="20"/>
        </w:rPr>
      </w:pPr>
      <w:r>
        <w:rPr>
          <w:rFonts w:hint="eastAsia" w:eastAsia="宋体"/>
          <w:sz w:val="20"/>
          <w:szCs w:val="20"/>
        </w:rPr>
        <w:t xml:space="preserve">InterDigital also suggests to configure a default FL for single PFL measurement after </w:t>
      </w:r>
      <w:bookmarkStart w:id="57" w:name="OLE_LINK3"/>
      <w:r>
        <w:rPr>
          <w:rFonts w:hint="eastAsia" w:eastAsia="宋体"/>
          <w:sz w:val="20"/>
          <w:szCs w:val="20"/>
        </w:rPr>
        <w:t>PRS bandwidth aggregation is disabled</w:t>
      </w:r>
      <w:bookmarkEnd w:id="57"/>
      <w:r>
        <w:rPr>
          <w:rFonts w:hint="eastAsia" w:eastAsia="宋体"/>
          <w:sz w:val="20"/>
          <w:szCs w:val="20"/>
        </w:rPr>
        <w:t>. FL thinks Rel-17 behavior will be followed if  PRS bandwidth aggregation is disabled, i.e. UE may measure different PFL in TDMed manner.</w:t>
      </w:r>
    </w:p>
    <w:p>
      <w:pPr>
        <w:snapToGrid w:val="0"/>
        <w:jc w:val="both"/>
        <w:rPr>
          <w:rFonts w:eastAsia="宋体"/>
          <w:sz w:val="20"/>
          <w:szCs w:val="20"/>
        </w:rPr>
      </w:pPr>
    </w:p>
    <w:p>
      <w:pPr>
        <w:snapToGrid w:val="0"/>
        <w:jc w:val="both"/>
        <w:rPr>
          <w:rFonts w:eastAsia="宋体"/>
          <w:sz w:val="20"/>
          <w:szCs w:val="20"/>
        </w:rPr>
      </w:pPr>
    </w:p>
    <w:p>
      <w:pPr>
        <w:snapToGrid w:val="0"/>
        <w:rPr>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6</w:t>
      </w:r>
      <w:r>
        <w:rPr>
          <w:rFonts w:ascii="Times" w:hAnsi="Times" w:cs="Times"/>
          <w:b/>
          <w:bCs/>
          <w:sz w:val="20"/>
          <w:szCs w:val="20"/>
        </w:rPr>
        <w:t>-1</w:t>
      </w:r>
      <w:r>
        <w:rPr>
          <w:rFonts w:hint="eastAsia" w:ascii="Times" w:hAnsi="Times" w:eastAsia="宋体" w:cs="Times"/>
          <w:b/>
          <w:bCs/>
          <w:sz w:val="20"/>
          <w:szCs w:val="20"/>
        </w:rPr>
        <w:t xml:space="preserve"> for down-selection</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In RRC_INACTIVE state, f</w:t>
      </w:r>
      <w:r>
        <w:rPr>
          <w:rFonts w:ascii="Times" w:hAnsi="Times" w:cs="Times"/>
          <w:sz w:val="20"/>
          <w:lang w:eastAsia="zh-CN"/>
        </w:rPr>
        <w:t>or the case when PRS in one of aggregated PFL is dropped because of collision with other signals, for LMF based positioning</w:t>
      </w:r>
      <w:r>
        <w:rPr>
          <w:rFonts w:hint="eastAsia" w:ascii="Times" w:hAnsi="Times" w:cs="Times"/>
          <w:sz w:val="20"/>
          <w:lang w:eastAsia="zh-CN"/>
        </w:rPr>
        <w:t>,</w:t>
      </w:r>
      <w:r>
        <w:rPr>
          <w:rFonts w:ascii="Times" w:hAnsi="Times" w:cs="Times"/>
          <w:sz w:val="20"/>
          <w:lang w:eastAsia="zh-CN"/>
        </w:rPr>
        <w:t xml:space="preserve"> </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1: Drop positioning measurement in all aggregated PFLs in the same symbol(s)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2: Still perform positioning measurement based on the remaining PRSs in other PFL(s)</w:t>
      </w:r>
    </w:p>
    <w:p>
      <w:pPr>
        <w:pStyle w:val="139"/>
        <w:numPr>
          <w:ilvl w:val="1"/>
          <w:numId w:val="18"/>
        </w:numPr>
        <w:snapToGrid w:val="0"/>
        <w:jc w:val="both"/>
        <w:rPr>
          <w:rFonts w:ascii="Times" w:hAnsi="Times" w:cs="Times"/>
          <w:sz w:val="20"/>
          <w:lang w:eastAsia="zh-CN"/>
        </w:rPr>
      </w:pPr>
      <w:bookmarkStart w:id="58" w:name="OLE_LINK14"/>
      <w:r>
        <w:rPr>
          <w:rFonts w:hint="eastAsia" w:ascii="Times" w:hAnsi="Times" w:cs="Times"/>
          <w:sz w:val="20"/>
          <w:lang w:eastAsia="zh-CN"/>
        </w:rPr>
        <w:t>Alt. 3: It is up to UE implementation to perform positioning measurement based on one or more of the PRS resources in the aggregated PFLs</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 xml:space="preserve">In RRC_CONNECTED state, </w:t>
      </w:r>
      <w:bookmarkEnd w:id="58"/>
      <w:r>
        <w:rPr>
          <w:rFonts w:hint="eastAsia" w:ascii="Times" w:hAnsi="Times" w:cs="Times"/>
          <w:sz w:val="20"/>
          <w:lang w:eastAsia="zh-CN"/>
        </w:rPr>
        <w:t>f</w:t>
      </w:r>
      <w:r>
        <w:rPr>
          <w:rFonts w:ascii="Times" w:hAnsi="Times" w:cs="Times"/>
          <w:sz w:val="20"/>
          <w:lang w:eastAsia="zh-CN"/>
        </w:rPr>
        <w:t>or the case when PRS in one of aggregated PFL is dropped because of collision with other signals, for LMF based positioning</w:t>
      </w:r>
      <w:r>
        <w:rPr>
          <w:rFonts w:hint="eastAsia" w:ascii="Times" w:hAnsi="Times" w:cs="Times"/>
          <w:sz w:val="20"/>
          <w:lang w:eastAsia="zh-CN"/>
        </w:rPr>
        <w:t>,</w:t>
      </w:r>
      <w:r>
        <w:rPr>
          <w:rFonts w:ascii="Times" w:hAnsi="Times" w:cs="Times"/>
          <w:sz w:val="20"/>
          <w:lang w:eastAsia="zh-CN"/>
        </w:rPr>
        <w:t xml:space="preserve"> </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1: Drop positioning measurement in all aggregated PFLs in the same symbol(s)</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2: Still perform positioning measurement based on the remaining PRSs in other PFL(s)</w:t>
      </w:r>
    </w:p>
    <w:p>
      <w:pPr>
        <w:pStyle w:val="139"/>
        <w:numPr>
          <w:ilvl w:val="1"/>
          <w:numId w:val="18"/>
        </w:numPr>
        <w:snapToGrid w:val="0"/>
        <w:jc w:val="both"/>
        <w:rPr>
          <w:rFonts w:ascii="Times" w:hAnsi="Times" w:cs="Times"/>
          <w:sz w:val="20"/>
          <w:lang w:eastAsia="zh-CN"/>
        </w:rPr>
      </w:pPr>
      <w:r>
        <w:rPr>
          <w:rFonts w:hint="eastAsia" w:ascii="Times" w:hAnsi="Times" w:cs="Times"/>
          <w:sz w:val="20"/>
          <w:lang w:eastAsia="zh-CN"/>
        </w:rPr>
        <w:t>Alt. 3: It is up to UE implementation to perform positioning measurement based on one or more of the PRS resources in the aggregated PFLs</w:t>
      </w:r>
    </w:p>
    <w:p>
      <w:pPr>
        <w:pStyle w:val="139"/>
        <w:numPr>
          <w:ilvl w:val="0"/>
          <w:numId w:val="18"/>
        </w:numPr>
        <w:snapToGrid w:val="0"/>
        <w:jc w:val="both"/>
        <w:rPr>
          <w:rFonts w:ascii="Times" w:hAnsi="Times" w:cs="Times"/>
          <w:sz w:val="20"/>
          <w:lang w:eastAsia="zh-CN"/>
        </w:rPr>
      </w:pPr>
      <w:r>
        <w:rPr>
          <w:rFonts w:hint="eastAsia" w:ascii="Times" w:hAnsi="Times" w:cs="Times"/>
          <w:sz w:val="20"/>
          <w:lang w:eastAsia="zh-CN"/>
        </w:rPr>
        <w:t>In RRC_CONNECTED state, f</w:t>
      </w:r>
      <w:r>
        <w:rPr>
          <w:rFonts w:ascii="Times" w:hAnsi="Times" w:cs="Times"/>
          <w:sz w:val="20"/>
          <w:lang w:eastAsia="zh-CN"/>
        </w:rPr>
        <w:t xml:space="preserve">or positioning SRS aggregation across CCs, if SRS in one of aggregated carriers is dropped in a symbol, </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1: Stop SRS transmission in all aggregated carriers in the same symbol</w:t>
      </w:r>
    </w:p>
    <w:p>
      <w:pPr>
        <w:pStyle w:val="139"/>
        <w:numPr>
          <w:ilvl w:val="1"/>
          <w:numId w:val="18"/>
        </w:numPr>
        <w:snapToGrid w:val="0"/>
        <w:jc w:val="both"/>
        <w:rPr>
          <w:rFonts w:ascii="Times" w:hAnsi="Times" w:cs="Times"/>
          <w:sz w:val="20"/>
          <w:lang w:eastAsia="zh-CN"/>
        </w:rPr>
      </w:pPr>
      <w:r>
        <w:rPr>
          <w:rFonts w:ascii="Times" w:hAnsi="Times" w:cs="Times"/>
          <w:sz w:val="20"/>
          <w:lang w:eastAsia="zh-CN"/>
        </w:rPr>
        <w:t>Alt. 2: SRS is still transmitted in other carriers in the same symbol</w:t>
      </w:r>
    </w:p>
    <w:p>
      <w:pPr>
        <w:pStyle w:val="139"/>
        <w:numPr>
          <w:ilvl w:val="2"/>
          <w:numId w:val="18"/>
        </w:numPr>
        <w:snapToGrid w:val="0"/>
        <w:jc w:val="both"/>
        <w:rPr>
          <w:lang w:val="en-GB"/>
        </w:rPr>
      </w:pPr>
      <w:r>
        <w:rPr>
          <w:rFonts w:ascii="Times" w:hAnsi="Times" w:cs="Times"/>
          <w:sz w:val="20"/>
          <w:lang w:val="en-GB" w:eastAsia="zh-CN"/>
        </w:rPr>
        <w:t>The UE may not be expected to maintain phase continuity across the remaining carriers</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For RRC connected, the PRS is measured in MG, if one PRS is dropped due to SSB, the MG instance can only be used for SSB measurement, and then we don’t think the PRS in other carrier can be measured.  So, Alt 1 is preferred.</w:t>
            </w:r>
          </w:p>
          <w:p>
            <w:pPr>
              <w:snapToGrid w:val="0"/>
              <w:rPr>
                <w:rFonts w:eastAsiaTheme="minorEastAsia"/>
                <w:iCs/>
                <w:sz w:val="18"/>
                <w:szCs w:val="18"/>
                <w:lang w:val="en-GB"/>
              </w:rPr>
            </w:pPr>
            <w:r>
              <w:rPr>
                <w:rFonts w:hint="eastAsia" w:eastAsiaTheme="minorEastAsia"/>
                <w:iCs/>
                <w:sz w:val="18"/>
                <w:szCs w:val="18"/>
                <w:lang w:val="en-GB"/>
              </w:rPr>
              <w:t>For other sub-bullet, we prefer to be consistent with of RRC connected.</w:t>
            </w:r>
          </w:p>
          <w:p>
            <w:pPr>
              <w:snapToGrid w:val="0"/>
              <w:jc w:val="both"/>
              <w:rPr>
                <w:rFonts w:eastAsiaTheme="minorEastAsia"/>
                <w:iCs/>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OPPO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Support</w:t>
            </w:r>
          </w:p>
          <w:p>
            <w:pPr>
              <w:snapToGrid w:val="0"/>
              <w:rPr>
                <w:rFonts w:eastAsiaTheme="minorEastAsia"/>
                <w:iCs/>
                <w:sz w:val="18"/>
                <w:szCs w:val="18"/>
                <w:lang w:val="en-GB"/>
              </w:rPr>
            </w:pPr>
            <w:r>
              <w:rPr>
                <w:rFonts w:hint="eastAsia" w:eastAsiaTheme="minorEastAsia"/>
                <w:iCs/>
                <w:sz w:val="18"/>
                <w:szCs w:val="18"/>
                <w:lang w:val="en-GB"/>
              </w:rPr>
              <w:t>Alt3</w:t>
            </w:r>
          </w:p>
          <w:p>
            <w:pPr>
              <w:snapToGrid w:val="0"/>
              <w:rPr>
                <w:rFonts w:eastAsiaTheme="minorEastAsia"/>
                <w:iCs/>
                <w:sz w:val="18"/>
                <w:szCs w:val="18"/>
                <w:lang w:val="en-GB"/>
              </w:rPr>
            </w:pPr>
            <w:r>
              <w:rPr>
                <w:rFonts w:hint="eastAsia" w:eastAsiaTheme="minorEastAsia"/>
                <w:iCs/>
                <w:sz w:val="18"/>
                <w:szCs w:val="18"/>
                <w:lang w:val="en-GB"/>
              </w:rPr>
              <w:t>Alt3</w:t>
            </w:r>
          </w:p>
          <w:p>
            <w:pPr>
              <w:snapToGrid w:val="0"/>
              <w:rPr>
                <w:rFonts w:eastAsiaTheme="minorEastAsia"/>
                <w:iCs/>
                <w:sz w:val="18"/>
                <w:szCs w:val="18"/>
                <w:lang w:val="en-GB"/>
              </w:rPr>
            </w:pPr>
            <w:r>
              <w:rPr>
                <w:rFonts w:hint="eastAsia" w:eastAsiaTheme="minorEastAsia"/>
                <w:iCs/>
                <w:sz w:val="18"/>
                <w:szCs w:val="18"/>
                <w:lang w:val="en-GB"/>
              </w:rPr>
              <w:t>And Alt2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Alt. 2 or Alt. 3</w:t>
            </w:r>
          </w:p>
          <w:p>
            <w:pPr>
              <w:snapToGrid w:val="0"/>
              <w:rPr>
                <w:rFonts w:eastAsiaTheme="minorEastAsia"/>
                <w:iCs/>
                <w:sz w:val="18"/>
                <w:szCs w:val="18"/>
                <w:lang w:val="en-GB"/>
              </w:rPr>
            </w:pPr>
            <w:r>
              <w:rPr>
                <w:rFonts w:hint="eastAsia" w:eastAsiaTheme="minorEastAsia"/>
                <w:iCs/>
                <w:sz w:val="18"/>
                <w:szCs w:val="18"/>
                <w:lang w:val="en-GB"/>
              </w:rPr>
              <w:t xml:space="preserve">Alt. 2 or Alt. 3. We prefer consistent </w:t>
            </w:r>
            <w:r>
              <w:rPr>
                <w:rFonts w:hint="eastAsia" w:eastAsiaTheme="minorEastAsia"/>
                <w:iCs/>
                <w:sz w:val="18"/>
                <w:szCs w:val="18"/>
                <w:lang w:val="en-GB"/>
              </w:rPr>
              <w:pgNum/>
            </w:r>
            <w:r>
              <w:rPr>
                <w:rFonts w:hint="eastAsia" w:eastAsiaTheme="minorEastAsia"/>
                <w:iCs/>
                <w:sz w:val="18"/>
                <w:szCs w:val="18"/>
                <w:lang w:val="en-GB"/>
              </w:rPr>
              <w:t xml:space="preserve">ehaviour for RRC inactive and connected. </w:t>
            </w:r>
          </w:p>
          <w:p>
            <w:pPr>
              <w:snapToGrid w:val="0"/>
              <w:rPr>
                <w:rFonts w:eastAsiaTheme="minorEastAsia"/>
                <w:iCs/>
                <w:sz w:val="18"/>
                <w:szCs w:val="18"/>
                <w:lang w:val="en-GB"/>
              </w:rPr>
            </w:pPr>
            <w:r>
              <w:rPr>
                <w:rFonts w:hint="eastAsia" w:eastAsiaTheme="minorEastAsia"/>
                <w:iCs/>
                <w:sz w:val="18"/>
                <w:szCs w:val="18"/>
                <w:lang w:val="en-GB"/>
              </w:rPr>
              <w:t>Alt. 2</w:t>
            </w:r>
          </w:p>
          <w:p>
            <w:pPr>
              <w:snapToGrid w:val="0"/>
              <w:rPr>
                <w:rFonts w:eastAsiaTheme="minorEastAsia"/>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 xml:space="preserve">Alt. 1 </w:t>
            </w:r>
          </w:p>
          <w:p>
            <w:pPr>
              <w:snapToGrid w:val="0"/>
              <w:rPr>
                <w:rFonts w:eastAsiaTheme="minorEastAsia"/>
                <w:iCs/>
                <w:sz w:val="18"/>
                <w:szCs w:val="18"/>
                <w:lang w:val="en-GB"/>
              </w:rPr>
            </w:pPr>
            <w:r>
              <w:rPr>
                <w:rFonts w:hint="eastAsia" w:eastAsiaTheme="minorEastAsia"/>
                <w:iCs/>
                <w:sz w:val="18"/>
                <w:szCs w:val="18"/>
                <w:lang w:val="en-GB"/>
              </w:rPr>
              <w:t>Alt. 1</w:t>
            </w:r>
          </w:p>
          <w:p>
            <w:pPr>
              <w:snapToGrid w:val="0"/>
              <w:rPr>
                <w:rFonts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For PRS in RRC_INACTIVE state: We are OK with both Alt.2 and Alt.3.</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 xml:space="preserve">For PRS in RRC_CONNECTED state: Alt.2 or Alt.3. </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For SRS in RRC_CONNECTED state: Alt.2</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 xml:space="preserve">In addition, even a UE in RRC_INACTIVE mode is expected to prioritize the reception of any other DL signals and DL channels than the reception of DL PRS, it does not mean that the UE </w:t>
            </w:r>
            <w:r>
              <w:rPr>
                <w:rFonts w:hint="eastAsia" w:eastAsiaTheme="minorEastAsia"/>
                <w:iCs/>
                <w:color w:val="FF0000"/>
                <w:sz w:val="18"/>
                <w:szCs w:val="18"/>
                <w:lang w:val="en-GB"/>
              </w:rPr>
              <w:t>has to</w:t>
            </w:r>
            <w:r>
              <w:rPr>
                <w:rFonts w:hint="eastAsia" w:eastAsiaTheme="minorEastAsia"/>
                <w:iCs/>
                <w:sz w:val="18"/>
                <w:szCs w:val="18"/>
                <w:lang w:val="en-GB"/>
              </w:rPr>
              <w:t xml:space="preserve"> drop positioning measurement in all aggregated CCs/PFLs when UE can receive different signals in different CCs simultaneously, which, from our understanding, is necessary for a UE to support band aggregation.There is no need to discuss the solution for RRC_INACTIVE state and RRC_CONNECTED state separately.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INACTIVE PRS</w:t>
            </w:r>
          </w:p>
          <w:p>
            <w:pPr>
              <w:snapToGrid w:val="0"/>
              <w:rPr>
                <w:rFonts w:eastAsiaTheme="minorEastAsia"/>
                <w:iCs/>
                <w:sz w:val="18"/>
                <w:szCs w:val="18"/>
                <w:lang w:val="en-GB"/>
              </w:rPr>
            </w:pPr>
            <w:r>
              <w:rPr>
                <w:rFonts w:hint="eastAsia" w:eastAsiaTheme="minorEastAsia"/>
                <w:iCs/>
                <w:sz w:val="18"/>
                <w:szCs w:val="18"/>
                <w:lang w:val="en-GB"/>
              </w:rPr>
              <w:t>Alt. 1 or Alt. 3. Basically it means that UE is not required to measure the remaining fractional PRS.</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CONNECTED PRS</w:t>
            </w:r>
          </w:p>
          <w:p>
            <w:pPr>
              <w:snapToGrid w:val="0"/>
              <w:rPr>
                <w:rFonts w:eastAsiaTheme="minorEastAsia"/>
                <w:iCs/>
                <w:sz w:val="18"/>
                <w:szCs w:val="18"/>
                <w:lang w:val="en-GB"/>
              </w:rPr>
            </w:pPr>
            <w:r>
              <w:rPr>
                <w:rFonts w:hint="eastAsia" w:eastAsiaTheme="minorEastAsia"/>
                <w:iCs/>
                <w:sz w:val="18"/>
                <w:szCs w:val="18"/>
                <w:lang w:val="en-GB"/>
              </w:rPr>
              <w:t>Alt.1 or Alt. 3.</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CONNECTED SRS</w:t>
            </w:r>
          </w:p>
          <w:p>
            <w:pPr>
              <w:snapToGrid w:val="0"/>
              <w:rPr>
                <w:rFonts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Alt. 3</w:t>
            </w:r>
          </w:p>
          <w:p>
            <w:pPr>
              <w:snapToGrid w:val="0"/>
              <w:rPr>
                <w:rFonts w:eastAsiaTheme="minorEastAsia"/>
                <w:iCs/>
                <w:sz w:val="18"/>
                <w:szCs w:val="18"/>
                <w:lang w:val="en-GB"/>
              </w:rPr>
            </w:pPr>
            <w:r>
              <w:rPr>
                <w:rFonts w:hint="eastAsia" w:eastAsiaTheme="minorEastAsia"/>
                <w:iCs/>
                <w:sz w:val="18"/>
                <w:szCs w:val="18"/>
                <w:lang w:val="en-GB"/>
              </w:rPr>
              <w:t>Alt. 3</w:t>
            </w:r>
          </w:p>
          <w:p>
            <w:pPr>
              <w:snapToGrid w:val="0"/>
              <w:rPr>
                <w:rFonts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MS Mincho"/>
                <w:iCs/>
                <w:sz w:val="18"/>
                <w:szCs w:val="18"/>
                <w:lang w:eastAsia="ja-JP"/>
              </w:rPr>
              <w:t>NTT DOCOMO</w:t>
            </w:r>
          </w:p>
        </w:tc>
        <w:tc>
          <w:tcPr>
            <w:tcW w:w="7508" w:type="dxa"/>
            <w:vAlign w:val="center"/>
          </w:tcPr>
          <w:p>
            <w:pPr>
              <w:snapToGrid w:val="0"/>
              <w:rPr>
                <w:rFonts w:eastAsia="MS Mincho"/>
                <w:iCs/>
                <w:sz w:val="18"/>
                <w:szCs w:val="18"/>
                <w:lang w:val="en-GB" w:eastAsia="ja-JP"/>
              </w:rPr>
            </w:pPr>
            <w:r>
              <w:rPr>
                <w:rFonts w:hint="eastAsia" w:eastAsia="MS Mincho"/>
                <w:iCs/>
                <w:sz w:val="18"/>
                <w:szCs w:val="18"/>
                <w:lang w:val="en-GB" w:eastAsia="ja-JP"/>
              </w:rPr>
              <w:t>Our 1</w:t>
            </w:r>
            <w:r>
              <w:rPr>
                <w:rFonts w:hint="eastAsia" w:eastAsia="MS Mincho"/>
                <w:iCs/>
                <w:sz w:val="18"/>
                <w:szCs w:val="18"/>
                <w:vertAlign w:val="superscript"/>
                <w:lang w:val="en-GB" w:eastAsia="ja-JP"/>
              </w:rPr>
              <w:t>st</w:t>
            </w:r>
            <w:r>
              <w:rPr>
                <w:rFonts w:hint="eastAsia" w:eastAsia="MS Mincho"/>
                <w:iCs/>
                <w:sz w:val="18"/>
                <w:szCs w:val="18"/>
                <w:lang w:val="en-GB" w:eastAsia="ja-JP"/>
              </w:rPr>
              <w:t xml:space="preserve"> preference is Alt. 2, but we can accept Alt. 3.</w:t>
            </w:r>
          </w:p>
          <w:p>
            <w:pPr>
              <w:snapToGrid w:val="0"/>
              <w:rPr>
                <w:rFonts w:eastAsia="MS Mincho"/>
                <w:iCs/>
                <w:sz w:val="18"/>
                <w:szCs w:val="18"/>
                <w:lang w:val="en-GB" w:eastAsia="ja-JP"/>
              </w:rPr>
            </w:pPr>
            <w:r>
              <w:rPr>
                <w:rFonts w:hint="eastAsia" w:eastAsia="MS Mincho"/>
                <w:iCs/>
                <w:sz w:val="18"/>
                <w:szCs w:val="18"/>
                <w:lang w:val="en-GB" w:eastAsia="ja-JP"/>
              </w:rPr>
              <w:t>Our 1</w:t>
            </w:r>
            <w:r>
              <w:rPr>
                <w:rFonts w:hint="eastAsia" w:eastAsia="MS Mincho"/>
                <w:iCs/>
                <w:sz w:val="18"/>
                <w:szCs w:val="18"/>
                <w:vertAlign w:val="superscript"/>
                <w:lang w:val="en-GB" w:eastAsia="ja-JP"/>
              </w:rPr>
              <w:t>st</w:t>
            </w:r>
            <w:r>
              <w:rPr>
                <w:rFonts w:hint="eastAsia" w:eastAsia="MS Mincho"/>
                <w:iCs/>
                <w:sz w:val="18"/>
                <w:szCs w:val="18"/>
                <w:lang w:val="en-GB" w:eastAsia="ja-JP"/>
              </w:rPr>
              <w:t xml:space="preserve"> preference is Alt. 2, but we can accept Alt. 3.</w:t>
            </w:r>
          </w:p>
          <w:p>
            <w:pPr>
              <w:snapToGrid w:val="0"/>
              <w:rPr>
                <w:rFonts w:eastAsiaTheme="minorEastAsia"/>
                <w:iCs/>
                <w:sz w:val="18"/>
                <w:szCs w:val="18"/>
                <w:lang w:val="en-GB"/>
              </w:rPr>
            </w:pPr>
            <w:r>
              <w:rPr>
                <w:rFonts w:hint="eastAsia" w:eastAsia="MS Mincho"/>
                <w:iCs/>
                <w:sz w:val="18"/>
                <w:szCs w:val="18"/>
                <w:lang w:val="en-GB" w:eastAsia="ja-JP"/>
              </w:rPr>
              <w:t>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lang w:val="en-GB"/>
              </w:rPr>
            </w:pPr>
            <w:r>
              <w:rPr>
                <w:rFonts w:hint="eastAsia" w:eastAsiaTheme="minorEastAsia"/>
                <w:iCs/>
                <w:sz w:val="18"/>
                <w:szCs w:val="18"/>
                <w:lang w:val="en-GB"/>
              </w:rPr>
              <w:t>Samsung</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In RRC_INACTIVE state, the UE is expected to prioritize the reception of any other DL signals and DL channels than the reception of DL PRS. Considering that SRS is agreed to drop in the symbol(s) of all aggregated carriers where collision occurs in RRC_INACTIVE state, we think a same logic should be supported for PRS in RRC_INACTIVE state.</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 xml:space="preserve">For RRC_CONNECTED state, due to higher requirements for positioning latency and lower requirements for power saving gains, we think the remaining PRSs/SRSs should be measured or transmitted in other PFL(s)/CC(s) in the same symbol. </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Besides, since phase continuity should be achieved across PFLs/carriers to enable PRS/SRS bandwidth aggregation, we have not found any reason to reverse this principle when one of aggregated PFL/carriers is dropped. Therefore, whether the remaining carriers can be aggregated for PRS/SRS transmission depends on whether they are continuous or not.</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 xml:space="preserve">In addition, it should be notice that only the ratio between the remaining PFLs/CCs and all aggregated PFLs/carriers is larger enough, it can provide a satisfied positioning accuracy, otherwise, its meaningless to transmit the remaining PRSs/SRSs. So there may exist an limit for the remaining PRSs/SRSs measurement or transmission.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lang w:val="en-GB"/>
              </w:rPr>
            </w:pPr>
            <w:r>
              <w:rPr>
                <w:rFonts w:hint="eastAsia" w:eastAsiaTheme="minorEastAsia"/>
                <w:iCs/>
                <w:sz w:val="18"/>
                <w:szCs w:val="18"/>
                <w:lang w:val="en-GB"/>
              </w:rPr>
              <w:t>InterDigital</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Our preference is Alt. 2 for all topics listed in the FL proposal.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lang w:val="en-GB"/>
              </w:rPr>
            </w:pPr>
            <w:r>
              <w:rPr>
                <w:rFonts w:hint="eastAsia" w:eastAsiaTheme="minorEastAsia"/>
                <w:iCs/>
                <w:sz w:val="18"/>
                <w:szCs w:val="18"/>
                <w:lang w:val="en-GB"/>
              </w:rPr>
              <w:t>Ericsson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Prefer Alt 2 for all 3 topics.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lang w:val="en-GB"/>
              </w:rPr>
            </w:pPr>
            <w:r>
              <w:rPr>
                <w:rFonts w:hint="eastAsia" w:eastAsia="Malgun Gothic"/>
                <w:iCs/>
                <w:sz w:val="18"/>
                <w:szCs w:val="18"/>
                <w:lang w:eastAsia="ko-KR"/>
              </w:rPr>
              <w:t>LGE</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1</w:t>
            </w:r>
            <w:r>
              <w:rPr>
                <w:rFonts w:hint="eastAsia" w:eastAsia="Malgun Gothic"/>
                <w:iCs/>
                <w:sz w:val="18"/>
                <w:szCs w:val="18"/>
                <w:vertAlign w:val="superscript"/>
                <w:lang w:val="en-GB" w:eastAsia="ko-KR"/>
              </w:rPr>
              <w:t>st</w:t>
            </w:r>
            <w:r>
              <w:rPr>
                <w:rFonts w:hint="eastAsia" w:eastAsia="Malgun Gothic"/>
                <w:iCs/>
                <w:sz w:val="18"/>
                <w:szCs w:val="18"/>
                <w:lang w:val="en-GB" w:eastAsia="ko-KR"/>
              </w:rPr>
              <w:t xml:space="preserve"> and 2</w:t>
            </w:r>
            <w:r>
              <w:rPr>
                <w:rFonts w:hint="eastAsia" w:eastAsia="Malgun Gothic"/>
                <w:iCs/>
                <w:sz w:val="18"/>
                <w:szCs w:val="18"/>
                <w:vertAlign w:val="superscript"/>
                <w:lang w:val="en-GB" w:eastAsia="ko-KR"/>
              </w:rPr>
              <w:t>nd</w:t>
            </w:r>
            <w:r>
              <w:rPr>
                <w:rFonts w:hint="eastAsia" w:eastAsia="Malgun Gothic"/>
                <w:iCs/>
                <w:sz w:val="18"/>
                <w:szCs w:val="18"/>
                <w:lang w:val="en-GB" w:eastAsia="ko-KR"/>
              </w:rPr>
              <w:t xml:space="preserve"> bullte: Alt 3</w:t>
            </w:r>
          </w:p>
          <w:p>
            <w:pPr>
              <w:snapToGrid w:val="0"/>
              <w:rPr>
                <w:rFonts w:eastAsiaTheme="minorEastAsia"/>
                <w:iCs/>
                <w:sz w:val="18"/>
                <w:szCs w:val="18"/>
                <w:lang w:val="en-GB"/>
              </w:rPr>
            </w:pPr>
            <w:r>
              <w:rPr>
                <w:rFonts w:hint="eastAsia" w:eastAsia="Malgun Gothic"/>
                <w:iCs/>
                <w:sz w:val="18"/>
                <w:szCs w:val="18"/>
                <w:lang w:val="en-GB" w:eastAsia="ko-KR"/>
              </w:rPr>
              <w:t>3</w:t>
            </w:r>
            <w:r>
              <w:rPr>
                <w:rFonts w:hint="eastAsia" w:eastAsia="Malgun Gothic"/>
                <w:iCs/>
                <w:sz w:val="18"/>
                <w:szCs w:val="18"/>
                <w:vertAlign w:val="superscript"/>
                <w:lang w:val="en-GB" w:eastAsia="ko-KR"/>
              </w:rPr>
              <w:t>rd</w:t>
            </w:r>
            <w:r>
              <w:rPr>
                <w:rFonts w:hint="eastAsia" w:eastAsia="Malgun Gothic"/>
                <w:iCs/>
                <w:sz w:val="18"/>
                <w:szCs w:val="18"/>
                <w:lang w:val="en-GB" w:eastAsia="ko-KR"/>
              </w:rPr>
              <w:t xml:space="preserve"> bullet: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Nokia/NSB</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Support Alt 2 for all bullets.</w:t>
            </w:r>
          </w:p>
        </w:tc>
      </w:tr>
    </w:tbl>
    <w:p>
      <w:pPr>
        <w:snapToGrid w:val="0"/>
        <w:rPr>
          <w:kern w:val="2"/>
          <w:sz w:val="20"/>
          <w:lang w:val="en-GB"/>
        </w:rPr>
      </w:pPr>
    </w:p>
    <w:p>
      <w:pPr>
        <w:pStyle w:val="40"/>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Agreement</w:t>
      </w:r>
    </w:p>
    <w:p>
      <w:pPr>
        <w:snapToGrid w:val="0"/>
        <w:rPr>
          <w:rFonts w:eastAsia="宋体"/>
          <w:kern w:val="2"/>
          <w:sz w:val="20"/>
        </w:rPr>
      </w:pPr>
    </w:p>
    <w:p>
      <w:pPr>
        <w:snapToGrid w:val="0"/>
        <w:jc w:val="both"/>
        <w:rPr>
          <w:rFonts w:eastAsia="宋体" w:cs="Times"/>
          <w:b/>
          <w:bCs/>
          <w:szCs w:val="20"/>
        </w:rPr>
      </w:pPr>
      <w:r>
        <w:rPr>
          <w:rFonts w:ascii="Times" w:hAnsi="Times" w:eastAsia="Batang" w:cs="Times"/>
          <w:b/>
          <w:bCs/>
          <w:sz w:val="20"/>
          <w:szCs w:val="20"/>
          <w:highlight w:val="green"/>
          <w:lang w:bidi="ar"/>
        </w:rPr>
        <w:t>Agreement</w:t>
      </w:r>
    </w:p>
    <w:p>
      <w:pPr>
        <w:pStyle w:val="27"/>
        <w:numPr>
          <w:ilvl w:val="0"/>
          <w:numId w:val="36"/>
        </w:numPr>
        <w:snapToGrid w:val="0"/>
        <w:spacing w:after="18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For the case when PRS in one of aggregated PFL is dropped because of collision with other signals, for LMF based positioning, it is up to UE implementation to perform positioning measurement based on one or more of the PRS resources in the aggregated PFLs.</w:t>
      </w:r>
    </w:p>
    <w:p>
      <w:pPr>
        <w:pStyle w:val="27"/>
        <w:numPr>
          <w:ilvl w:val="1"/>
          <w:numId w:val="36"/>
        </w:numPr>
        <w:snapToGrid w:val="0"/>
        <w:spacing w:after="180"/>
        <w:contextualSpacing/>
        <w:jc w:val="both"/>
        <w:textAlignment w:val="baseline"/>
        <w:rPr>
          <w:rFonts w:ascii="Times New Roman" w:hAnsi="Times New Roman" w:cs="Times New Roman"/>
          <w:sz w:val="20"/>
          <w:szCs w:val="20"/>
        </w:rPr>
      </w:pPr>
      <w:r>
        <w:rPr>
          <w:rFonts w:ascii="Times New Roman" w:hAnsi="Times New Roman" w:eastAsia="等线" w:cs="Times New Roman"/>
          <w:sz w:val="20"/>
          <w:szCs w:val="20"/>
        </w:rPr>
        <w:t>Note: it is up to RAN4 whether or not to define performance requirements for this case of collision with other signals</w:t>
      </w:r>
    </w:p>
    <w:p>
      <w:pPr>
        <w:pStyle w:val="27"/>
        <w:tabs>
          <w:tab w:val="left" w:pos="-420"/>
        </w:tabs>
        <w:snapToGrid w:val="0"/>
        <w:spacing w:after="180"/>
        <w:contextualSpacing/>
        <w:jc w:val="both"/>
        <w:textAlignment w:val="baseline"/>
        <w:rPr>
          <w:rFonts w:eastAsia="等线" w:cs="Times"/>
        </w:rPr>
      </w:pPr>
    </w:p>
    <w:p>
      <w:pPr>
        <w:snapToGrid w:val="0"/>
        <w:jc w:val="both"/>
        <w:rPr>
          <w:rFonts w:eastAsia="宋体" w:cs="Times"/>
          <w:b/>
          <w:bCs/>
          <w:szCs w:val="20"/>
        </w:rPr>
      </w:pPr>
      <w:r>
        <w:rPr>
          <w:rFonts w:ascii="Times" w:hAnsi="Times" w:eastAsia="Batang" w:cs="Times"/>
          <w:b/>
          <w:bCs/>
          <w:sz w:val="20"/>
          <w:szCs w:val="20"/>
          <w:highlight w:val="green"/>
          <w:lang w:bidi="ar"/>
        </w:rPr>
        <w:t>Agreement</w:t>
      </w:r>
    </w:p>
    <w:p>
      <w:pPr>
        <w:pStyle w:val="195"/>
        <w:numPr>
          <w:ilvl w:val="0"/>
          <w:numId w:val="36"/>
        </w:numPr>
        <w:snapToGrid w:val="0"/>
        <w:spacing w:after="180"/>
        <w:ind w:leftChars="0"/>
        <w:contextualSpacing/>
        <w:jc w:val="both"/>
        <w:textAlignment w:val="baseline"/>
        <w:rPr>
          <w:rFonts w:cs="Times"/>
        </w:rPr>
      </w:pPr>
      <w:r>
        <w:rPr>
          <w:rFonts w:cs="Times"/>
        </w:rPr>
        <w:t>In RRC_CONNECTED state, for positioning SRS aggregation across CCs, if SRS in one of aggregated carriers is dropped in a symbol, stop SRS transmission in all aggregated carriers in the same symbol</w:t>
      </w:r>
    </w:p>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TRP ID for 38.214</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Qualcomm</w:t>
            </w:r>
          </w:p>
        </w:tc>
        <w:tc>
          <w:tcPr>
            <w:tcW w:w="8221" w:type="dxa"/>
            <w:vAlign w:val="center"/>
          </w:tcPr>
          <w:p>
            <w:pPr>
              <w:snapToGrid w:val="0"/>
              <w:rPr>
                <w:sz w:val="20"/>
                <w:szCs w:val="20"/>
              </w:rPr>
            </w:pPr>
            <w:r>
              <w:rPr>
                <w:rFonts w:hint="eastAsia"/>
                <w:sz w:val="20"/>
                <w:szCs w:val="20"/>
              </w:rPr>
              <w:t xml:space="preserve">Proposal 7: </w:t>
            </w:r>
            <w:bookmarkStart w:id="59" w:name="OLE_LINK47"/>
            <w:r>
              <w:rPr>
                <w:rFonts w:hint="eastAsia"/>
                <w:sz w:val="20"/>
                <w:szCs w:val="20"/>
              </w:rPr>
              <w:t xml:space="preserve">For PRS BW aggregation, do not preclude an assistance data construction principle in which, a TRP is associated with multiple PRS-IDs, each PRS-ID for a different PFL. </w:t>
            </w:r>
          </w:p>
          <w:p>
            <w:pPr>
              <w:pStyle w:val="139"/>
              <w:numPr>
                <w:ilvl w:val="0"/>
                <w:numId w:val="33"/>
              </w:numPr>
              <w:snapToGrid w:val="0"/>
              <w:spacing w:after="0"/>
              <w:rPr>
                <w:sz w:val="20"/>
              </w:rPr>
            </w:pPr>
            <w:r>
              <w:rPr>
                <w:rFonts w:hint="eastAsia"/>
                <w:sz w:val="20"/>
              </w:rPr>
              <w:t xml:space="preserve">Such a construction principle is already possible from NR Rel-16 and was explicitly and on purpose enabled, after related discussions in RAN2. </w:t>
            </w:r>
          </w:p>
          <w:p>
            <w:pPr>
              <w:pStyle w:val="139"/>
              <w:numPr>
                <w:ilvl w:val="0"/>
                <w:numId w:val="33"/>
              </w:numPr>
              <w:snapToGrid w:val="0"/>
              <w:spacing w:after="0"/>
              <w:rPr>
                <w:sz w:val="20"/>
              </w:rPr>
            </w:pPr>
            <w:r>
              <w:rPr>
                <w:rFonts w:hint="eastAsia"/>
                <w:sz w:val="20"/>
              </w:rPr>
              <w:t xml:space="preserve">Update the following TP in 38.214, by removing the sentence in the brackets. </w:t>
            </w:r>
          </w:p>
          <w:p>
            <w:pPr>
              <w:pStyle w:val="139"/>
              <w:numPr>
                <w:ilvl w:val="1"/>
                <w:numId w:val="33"/>
              </w:numPr>
              <w:snapToGrid w:val="0"/>
              <w:spacing w:after="0"/>
              <w:rPr>
                <w:i/>
                <w:iCs/>
                <w:sz w:val="20"/>
              </w:rPr>
            </w:pPr>
            <w:r>
              <w:rPr>
                <w:rFonts w:hint="eastAsia"/>
                <w:i/>
                <w:iCs/>
                <w:sz w:val="20"/>
              </w:rPr>
              <w:t>When the UE is expected to perform joint measurements for bandwidth aggregation across DL PRS positioning frequency layers, the UE expects to be configured with linkage information, via higher layer parameter [linkage], between DL PRS resource sets</w:t>
            </w:r>
            <w:del w:id="0" w:author="Mihai Enescu" w:date="2023-06-04T12:49:00Z">
              <w:r>
                <w:rPr>
                  <w:rFonts w:hint="eastAsia"/>
                  <w:i/>
                  <w:iCs/>
                  <w:sz w:val="20"/>
                </w:rPr>
                <w:delText>s</w:delText>
              </w:r>
            </w:del>
            <w:r>
              <w:rPr>
                <w:rFonts w:hint="eastAsia"/>
                <w:i/>
                <w:iCs/>
                <w:sz w:val="20"/>
              </w:rPr>
              <w:t xml:space="preserve"> across DL PRS positioning frequency layers</w:t>
            </w:r>
            <w:r>
              <w:rPr>
                <w:rFonts w:hint="eastAsia"/>
                <w:i/>
                <w:iCs/>
                <w:strike/>
                <w:sz w:val="20"/>
              </w:rPr>
              <w:t xml:space="preserve"> [associated with a dl-PRS-ID].</w:t>
            </w:r>
            <w:r>
              <w:rPr>
                <w:rFonts w:hint="eastAsia"/>
                <w:i/>
                <w:iCs/>
                <w:sz w:val="20"/>
              </w:rPr>
              <w:t xml:space="preserve"> </w:t>
            </w:r>
          </w:p>
          <w:p>
            <w:pPr>
              <w:pStyle w:val="139"/>
              <w:numPr>
                <w:ilvl w:val="0"/>
                <w:numId w:val="33"/>
              </w:numPr>
              <w:snapToGrid w:val="0"/>
              <w:spacing w:after="0"/>
              <w:rPr>
                <w:sz w:val="20"/>
              </w:rPr>
            </w:pPr>
            <w:r>
              <w:rPr>
                <w:rFonts w:hint="eastAsia"/>
                <w:sz w:val="20"/>
              </w:rPr>
              <w:t xml:space="preserve">Send an LS to RAN2 that the LPP assistance data should only allow linkage of PRS resource sets across PFLs of the same TRP. </w:t>
            </w:r>
          </w:p>
          <w:bookmarkEnd w:id="59"/>
          <w:p>
            <w:pPr>
              <w:snapToGrid w:val="0"/>
              <w:rPr>
                <w:sz w:val="20"/>
                <w:szCs w:val="20"/>
              </w:rPr>
            </w:pPr>
          </w:p>
          <w:p>
            <w:pPr>
              <w:snapToGrid w:val="0"/>
              <w:rPr>
                <w:i/>
                <w:iCs/>
                <w:color w:val="000000"/>
                <w:sz w:val="20"/>
                <w:szCs w:val="20"/>
              </w:rPr>
            </w:pPr>
            <w:r>
              <w:rPr>
                <w:rFonts w:hint="eastAsia"/>
                <w:sz w:val="20"/>
                <w:szCs w:val="20"/>
              </w:rPr>
              <w:t>Proposal 8: The PRS resource sets that are aggregated should also have the same PRS repetition factor (</w:t>
            </w:r>
            <w:r>
              <w:rPr>
                <w:rFonts w:hint="eastAsia"/>
                <w:i/>
                <w:iCs/>
                <w:color w:val="000000"/>
                <w:sz w:val="20"/>
                <w:szCs w:val="20"/>
              </w:rPr>
              <w:t>dl-PRS-ResourceRepetitionFactor). Change the corresponding sentence as follows:</w:t>
            </w:r>
          </w:p>
          <w:p>
            <w:pPr>
              <w:pStyle w:val="139"/>
              <w:numPr>
                <w:ilvl w:val="0"/>
                <w:numId w:val="33"/>
              </w:numPr>
              <w:snapToGrid w:val="0"/>
              <w:spacing w:after="0"/>
              <w:rPr>
                <w:sz w:val="20"/>
              </w:rPr>
            </w:pPr>
            <w:r>
              <w:rPr>
                <w:rFonts w:hint="eastAsia"/>
                <w:sz w:val="20"/>
              </w:rPr>
              <w:t xml:space="preserve">For the linked DL PRS resource sets, the UE is expected to be configured with the same values of QCL, </w:t>
            </w:r>
            <w:r>
              <w:rPr>
                <w:rFonts w:hint="eastAsia"/>
                <w:i/>
                <w:iCs/>
                <w:sz w:val="20"/>
              </w:rPr>
              <w:t>dl-PRS-Periodicity-and-ResourceSetSlotOffset, dl-PRS-NumSymbols</w:t>
            </w:r>
            <w:r>
              <w:rPr>
                <w:rFonts w:hint="eastAsia"/>
                <w:sz w:val="20"/>
              </w:rPr>
              <w:t>,</w:t>
            </w:r>
            <w:r>
              <w:rPr>
                <w:rFonts w:hint="eastAsia"/>
                <w:i/>
                <w:sz w:val="20"/>
              </w:rPr>
              <w:t xml:space="preserve"> dl-PRS-ResourceTimeGap, </w:t>
            </w:r>
            <w:r>
              <w:rPr>
                <w:rFonts w:hint="eastAsia"/>
                <w:i/>
                <w:iCs/>
                <w:color w:val="00B050"/>
                <w:sz w:val="20"/>
              </w:rPr>
              <w:t xml:space="preserve">dl-PRS-ResourceRepetitionFactor, </w:t>
            </w:r>
            <w:r>
              <w:rPr>
                <w:rFonts w:hint="eastAsia"/>
                <w:i/>
                <w:iCs/>
                <w:sz w:val="20"/>
              </w:rPr>
              <w:t>dl-PRS-ResourceSymbolOffset,</w:t>
            </w:r>
            <w:r>
              <w:rPr>
                <w:rFonts w:hint="eastAsia"/>
                <w:sz w:val="20"/>
              </w:rPr>
              <w:t xml:space="preserve"> </w:t>
            </w:r>
            <w:r>
              <w:rPr>
                <w:rFonts w:hint="eastAsia"/>
                <w:i/>
                <w:iCs/>
                <w:snapToGrid w:val="0"/>
                <w:sz w:val="20"/>
              </w:rPr>
              <w:t>dl-prs-MutingBitRepetitionFactor,</w:t>
            </w:r>
            <w:r>
              <w:rPr>
                <w:rFonts w:hint="eastAsia"/>
                <w:sz w:val="20"/>
              </w:rPr>
              <w:t xml:space="preserve"> </w:t>
            </w:r>
            <w:r>
              <w:rPr>
                <w:rFonts w:hint="eastAsia" w:eastAsia="Times New Roman"/>
                <w:i/>
                <w:iCs/>
                <w:sz w:val="20"/>
                <w:lang w:eastAsia="ko-KR"/>
              </w:rPr>
              <w:t>dl-PRS-CyclicPrefix</w:t>
            </w:r>
            <w:r>
              <w:rPr>
                <w:rFonts w:hint="eastAsia"/>
                <w:sz w:val="20"/>
              </w:rPr>
              <w:t xml:space="preserve">, comb size, power per subcarrier, </w:t>
            </w:r>
            <w:r>
              <w:rPr>
                <w:rFonts w:hint="eastAsia"/>
                <w:i/>
                <w:iCs/>
                <w:sz w:val="20"/>
              </w:rPr>
              <w:t>NR-MutingPattern</w:t>
            </w:r>
            <w:r>
              <w:rPr>
                <w:rFonts w:hint="eastAsia"/>
                <w:sz w:val="20"/>
              </w:rPr>
              <w:t xml:space="preserve">, and </w:t>
            </w:r>
            <w:r>
              <w:rPr>
                <w:rFonts w:hint="eastAsia"/>
                <w:i/>
                <w:iCs/>
                <w:sz w:val="20"/>
              </w:rPr>
              <w:t xml:space="preserve">NR-DL-PRS-SFN0-Offset, </w:t>
            </w:r>
            <w:r>
              <w:rPr>
                <w:rFonts w:hint="eastAsia"/>
                <w:sz w:val="20"/>
              </w:rPr>
              <w:t>and the UE is expected to be configured with DL PRS resources that maintain uniformly spaced DL PRS RE pattern within a symbol across aggregated DL PRS positioning frequency layers.</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Nokia</w:t>
            </w:r>
          </w:p>
        </w:tc>
        <w:tc>
          <w:tcPr>
            <w:tcW w:w="8221" w:type="dxa"/>
            <w:vAlign w:val="center"/>
          </w:tcPr>
          <w:p>
            <w:pPr>
              <w:snapToGrid w:val="0"/>
              <w:spacing w:before="240"/>
              <w:rPr>
                <w:sz w:val="20"/>
                <w:szCs w:val="20"/>
              </w:rPr>
            </w:pPr>
            <w:r>
              <w:rPr>
                <w:rFonts w:hint="eastAsia"/>
                <w:sz w:val="20"/>
                <w:szCs w:val="20"/>
              </w:rPr>
              <w:t>Proposal 3: LMF provides additional signalling so that the UE assume a set of higher layer parameters “</w:t>
            </w:r>
            <w:r>
              <w:rPr>
                <w:rFonts w:hint="eastAsia"/>
                <w:i/>
                <w:iCs/>
                <w:sz w:val="20"/>
                <w:szCs w:val="20"/>
              </w:rPr>
              <w:t>dl-PRS-ID</w:t>
            </w:r>
            <w:r>
              <w:rPr>
                <w:rFonts w:hint="eastAsia"/>
                <w:sz w:val="20"/>
                <w:szCs w:val="20"/>
              </w:rPr>
              <w:t>” is associated with a single TRP.</w:t>
            </w:r>
          </w:p>
          <w:p>
            <w:pPr>
              <w:tabs>
                <w:tab w:val="left" w:pos="640"/>
              </w:tabs>
              <w:snapToGrid w:val="0"/>
              <w:jc w:val="both"/>
              <w:rPr>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b/>
          <w:sz w:val="20"/>
          <w:szCs w:val="20"/>
          <w:lang w:val="en-GB"/>
        </w:rPr>
      </w:pPr>
      <w:r>
        <w:rPr>
          <w:b/>
          <w:sz w:val="20"/>
          <w:szCs w:val="20"/>
          <w:lang w:val="en-GB"/>
        </w:rPr>
        <w:t xml:space="preserve">FL comments: </w:t>
      </w:r>
    </w:p>
    <w:p>
      <w:pPr>
        <w:snapToGrid w:val="0"/>
        <w:spacing w:before="120" w:after="180" w:afterLines="50"/>
        <w:jc w:val="both"/>
      </w:pPr>
      <w:r>
        <w:rPr>
          <w:rFonts w:eastAsia="宋体"/>
          <w:bCs/>
          <w:sz w:val="20"/>
          <w:szCs w:val="20"/>
        </w:rPr>
        <w:t>Qualcomm mention</w:t>
      </w:r>
      <w:r>
        <w:rPr>
          <w:rFonts w:hint="eastAsia" w:eastAsia="宋体"/>
          <w:bCs/>
          <w:sz w:val="20"/>
          <w:szCs w:val="20"/>
        </w:rPr>
        <w:t>s</w:t>
      </w:r>
      <w:r>
        <w:rPr>
          <w:rFonts w:eastAsia="宋体"/>
          <w:bCs/>
          <w:sz w:val="20"/>
          <w:szCs w:val="20"/>
        </w:rPr>
        <w:t xml:space="preserve">, </w:t>
      </w:r>
      <w:r>
        <w:rPr>
          <w:bCs/>
          <w:sz w:val="20"/>
          <w:szCs w:val="20"/>
        </w:rPr>
        <w:t>the specification, starting NR Rel-16, supports also the following way of constructing the assistance data, in which case, a single TRP is associated with multiple PRS-IDs, This is the reason also, we have 256 PRS-IDs</w:t>
      </w:r>
      <w:r>
        <w:rPr>
          <w:rFonts w:hint="eastAsia" w:eastAsia="宋体"/>
          <w:bCs/>
          <w:sz w:val="20"/>
          <w:szCs w:val="20"/>
        </w:rPr>
        <w:t xml:space="preserve"> as shown in the figure below</w:t>
      </w:r>
      <w:r>
        <w:rPr>
          <w:bCs/>
          <w:sz w:val="20"/>
          <w:szCs w:val="20"/>
        </w:rPr>
        <w:t xml:space="preserve"> (64 TRPs, each TRP having 4 PRS IDs, each one for different PFL). </w:t>
      </w:r>
      <w:r>
        <w:rPr>
          <w:rFonts w:hint="eastAsia" w:eastAsia="宋体"/>
          <w:bCs/>
          <w:sz w:val="20"/>
          <w:szCs w:val="20"/>
        </w:rPr>
        <w:t>Qualcomm mentions t</w:t>
      </w:r>
      <w:r>
        <w:rPr>
          <w:bCs/>
          <w:sz w:val="20"/>
          <w:szCs w:val="20"/>
        </w:rPr>
        <w:t xml:space="preserve">his topic was heavily debated in NR Rel-16 in RAN2. </w:t>
      </w:r>
      <w:r>
        <w:rPr>
          <w:rFonts w:eastAsia="宋体"/>
          <w:bCs/>
          <w:sz w:val="20"/>
          <w:szCs w:val="20"/>
        </w:rPr>
        <w:t xml:space="preserve"> So they want to remove the </w:t>
      </w:r>
      <w:r>
        <w:rPr>
          <w:rFonts w:hint="eastAsia" w:eastAsia="宋体"/>
          <w:bCs/>
          <w:sz w:val="20"/>
          <w:szCs w:val="20"/>
        </w:rPr>
        <w:t xml:space="preserve">condition of </w:t>
      </w:r>
      <w:r>
        <w:rPr>
          <w:rFonts w:eastAsia="宋体"/>
          <w:bCs/>
          <w:sz w:val="20"/>
          <w:szCs w:val="20"/>
        </w:rPr>
        <w:t>‘dl-PRS-ID’</w:t>
      </w:r>
      <w:r>
        <w:rPr>
          <w:rFonts w:hint="eastAsia" w:eastAsia="宋体"/>
          <w:bCs/>
          <w:sz w:val="20"/>
          <w:szCs w:val="20"/>
        </w:rPr>
        <w:t xml:space="preserve"> for aggregation</w:t>
      </w:r>
      <w:r>
        <w:rPr>
          <w:rFonts w:eastAsia="宋体"/>
          <w:bCs/>
          <w:sz w:val="20"/>
          <w:szCs w:val="20"/>
        </w:rPr>
        <w:t xml:space="preserve"> in TS 38.214</w:t>
      </w:r>
      <w:r>
        <w:rPr>
          <w:rFonts w:hint="eastAsia" w:eastAsia="宋体"/>
          <w:bCs/>
          <w:sz w:val="20"/>
          <w:szCs w:val="20"/>
        </w:rPr>
        <w:t>.</w:t>
      </w:r>
    </w:p>
    <w:p>
      <w:pPr>
        <w:snapToGrid w:val="0"/>
        <w:jc w:val="center"/>
        <w:rPr>
          <w:rFonts w:eastAsia="宋体"/>
          <w:b/>
          <w:sz w:val="20"/>
          <w:szCs w:val="20"/>
        </w:rPr>
      </w:pPr>
      <w:r>
        <w:pict>
          <v:shape id="_x0000_i1025" o:spt="75" type="#_x0000_t75" style="height:639.15pt;width:300.65pt;" filled="f" o:preferrelative="t" stroked="f" coordsize="21600,21600">
            <v:path/>
            <v:fill on="f" focussize="0,0"/>
            <v:stroke on="f" joinstyle="miter"/>
            <v:imagedata r:id="rId6" o:title=""/>
            <o:lock v:ext="edit" aspectratio="t"/>
            <w10:wrap type="none"/>
            <w10:anchorlock/>
          </v:shape>
        </w:pict>
      </w:r>
    </w:p>
    <w:p>
      <w:pPr>
        <w:snapToGrid w:val="0"/>
        <w:spacing w:before="120" w:after="180" w:afterLines="50"/>
        <w:rPr>
          <w:rFonts w:ascii="Times" w:hAnsi="Times" w:cs="Times"/>
          <w:b/>
          <w:sz w:val="20"/>
          <w:szCs w:val="20"/>
          <w:lang w:val="en-GB"/>
        </w:rPr>
      </w:pPr>
      <w:r>
        <w:rPr>
          <w:rFonts w:ascii="Times" w:hAnsi="Times" w:eastAsia="宋体" w:cs="Times"/>
          <w:bCs/>
          <w:sz w:val="20"/>
          <w:szCs w:val="20"/>
        </w:rPr>
        <w:t xml:space="preserve">Nokia provides another solution, i.e. </w:t>
      </w:r>
      <w:bookmarkStart w:id="60" w:name="OLE_LINK48"/>
      <w:r>
        <w:rPr>
          <w:rFonts w:ascii="Times" w:hAnsi="Times" w:cs="Times"/>
          <w:bCs/>
          <w:sz w:val="20"/>
          <w:szCs w:val="20"/>
        </w:rPr>
        <w:t>LMF provides additional signaling so that the UE assume a set of higher layer parameters “</w:t>
      </w:r>
      <w:r>
        <w:rPr>
          <w:rFonts w:ascii="Times" w:hAnsi="Times" w:cs="Times"/>
          <w:bCs/>
          <w:i/>
          <w:iCs/>
          <w:sz w:val="20"/>
          <w:szCs w:val="20"/>
        </w:rPr>
        <w:t>dl-PRS-ID</w:t>
      </w:r>
      <w:r>
        <w:rPr>
          <w:rFonts w:ascii="Times" w:hAnsi="Times" w:cs="Times"/>
          <w:bCs/>
          <w:sz w:val="20"/>
          <w:szCs w:val="20"/>
        </w:rPr>
        <w:t>” is associated with a single TRP</w:t>
      </w:r>
      <w:bookmarkEnd w:id="60"/>
      <w:r>
        <w:rPr>
          <w:rFonts w:ascii="Times" w:hAnsi="Times" w:cs="Times"/>
          <w:bCs/>
          <w:sz w:val="20"/>
          <w:szCs w:val="20"/>
        </w:rPr>
        <w:t>.</w:t>
      </w:r>
    </w:p>
    <w:p>
      <w:pPr>
        <w:snapToGrid w:val="0"/>
        <w:rPr>
          <w:rFonts w:ascii="Times" w:hAnsi="Times" w:eastAsia="宋体" w:cs="Times"/>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ascii="Times" w:hAnsi="Times" w:eastAsia="宋体" w:cs="Times"/>
          <w:b/>
          <w:bCs/>
          <w:sz w:val="20"/>
          <w:szCs w:val="20"/>
        </w:rPr>
        <w:t>7</w:t>
      </w:r>
      <w:r>
        <w:rPr>
          <w:rFonts w:ascii="Times" w:hAnsi="Times" w:cs="Times"/>
          <w:b/>
          <w:bCs/>
          <w:sz w:val="20"/>
          <w:szCs w:val="20"/>
        </w:rPr>
        <w:t>-1</w:t>
      </w:r>
      <w:r>
        <w:rPr>
          <w:rFonts w:ascii="Times" w:hAnsi="Times" w:eastAsia="宋体" w:cs="Times"/>
          <w:b/>
          <w:bCs/>
          <w:sz w:val="20"/>
          <w:szCs w:val="20"/>
        </w:rPr>
        <w:t xml:space="preserve"> for selection between Alt.1 and Alt.2</w:t>
      </w:r>
    </w:p>
    <w:p>
      <w:pPr>
        <w:snapToGrid w:val="0"/>
        <w:jc w:val="both"/>
        <w:rPr>
          <w:rFonts w:ascii="Times" w:hAnsi="Times" w:cs="Times"/>
          <w:sz w:val="20"/>
          <w:szCs w:val="20"/>
        </w:rPr>
      </w:pPr>
      <w:r>
        <w:rPr>
          <w:rFonts w:ascii="Times" w:hAnsi="Times" w:cs="Times"/>
          <w:sz w:val="20"/>
          <w:szCs w:val="20"/>
        </w:rPr>
        <w:t xml:space="preserve">For PRS BW aggregation, do not preclude an assistance data construction principle in which, a TRP is associated with multiple PRS-IDs, each PRS-ID for a different PFL. </w:t>
      </w:r>
    </w:p>
    <w:p>
      <w:pPr>
        <w:pStyle w:val="139"/>
        <w:numPr>
          <w:ilvl w:val="0"/>
          <w:numId w:val="33"/>
        </w:numPr>
        <w:snapToGrid w:val="0"/>
        <w:spacing w:after="0"/>
        <w:rPr>
          <w:rFonts w:ascii="Times" w:hAnsi="Times" w:cs="Times"/>
          <w:sz w:val="20"/>
        </w:rPr>
      </w:pPr>
      <w:r>
        <w:rPr>
          <w:rFonts w:ascii="Times" w:hAnsi="Times" w:cs="Times"/>
          <w:sz w:val="20"/>
          <w:lang w:eastAsia="zh-CN"/>
        </w:rPr>
        <w:t>RAN1 understands that s</w:t>
      </w:r>
      <w:r>
        <w:rPr>
          <w:rFonts w:ascii="Times" w:hAnsi="Times" w:cs="Times"/>
          <w:sz w:val="20"/>
        </w:rPr>
        <w:t xml:space="preserve">uch a construction principle is already possible from NR Rel-16 and was explicitly and on purpose enabled, after related discussions in RAN2. </w:t>
      </w:r>
    </w:p>
    <w:p>
      <w:pPr>
        <w:pStyle w:val="139"/>
        <w:numPr>
          <w:ilvl w:val="1"/>
          <w:numId w:val="33"/>
        </w:numPr>
        <w:snapToGrid w:val="0"/>
        <w:spacing w:after="0"/>
        <w:rPr>
          <w:rFonts w:ascii="Times" w:hAnsi="Times" w:cs="Times"/>
          <w:sz w:val="20"/>
        </w:rPr>
      </w:pPr>
      <w:r>
        <w:rPr>
          <w:rFonts w:ascii="Times" w:hAnsi="Times" w:cs="Times"/>
          <w:sz w:val="20"/>
          <w:lang w:eastAsia="zh-CN"/>
        </w:rPr>
        <w:t>Send an LS to RAN2 to check RAN1’s understanding</w:t>
      </w:r>
    </w:p>
    <w:p>
      <w:pPr>
        <w:pStyle w:val="139"/>
        <w:numPr>
          <w:ilvl w:val="0"/>
          <w:numId w:val="33"/>
        </w:numPr>
        <w:snapToGrid w:val="0"/>
        <w:spacing w:after="0"/>
        <w:rPr>
          <w:rFonts w:ascii="Times" w:hAnsi="Times" w:cs="Times"/>
          <w:sz w:val="20"/>
        </w:rPr>
      </w:pPr>
      <w:r>
        <w:rPr>
          <w:rFonts w:ascii="Times" w:hAnsi="Times" w:cs="Times"/>
          <w:sz w:val="20"/>
          <w:lang w:eastAsia="zh-CN"/>
        </w:rPr>
        <w:t xml:space="preserve">Alt.1: </w:t>
      </w:r>
      <w:r>
        <w:rPr>
          <w:rFonts w:ascii="Times" w:hAnsi="Times" w:cs="Times"/>
          <w:sz w:val="20"/>
        </w:rPr>
        <w:t xml:space="preserve">Update the following TP in 38.214, by removing the sentence in the brackets. </w:t>
      </w:r>
    </w:p>
    <w:p>
      <w:pPr>
        <w:pStyle w:val="139"/>
        <w:numPr>
          <w:ilvl w:val="1"/>
          <w:numId w:val="33"/>
        </w:numPr>
        <w:snapToGrid w:val="0"/>
        <w:spacing w:after="0"/>
        <w:rPr>
          <w:rFonts w:ascii="Times" w:hAnsi="Times" w:cs="Times"/>
          <w:i/>
          <w:iCs/>
          <w:sz w:val="20"/>
        </w:rPr>
      </w:pPr>
      <w:r>
        <w:rPr>
          <w:rFonts w:ascii="Times" w:hAnsi="Times" w:cs="Times"/>
          <w:i/>
          <w:iCs/>
          <w:sz w:val="20"/>
        </w:rPr>
        <w:t>When the UE is expected to perform joint measurements for bandwidth aggregation across DL PRS positioning frequency layers, the UE expects to be configured with linkage information, via higher layer parameter [linkage], between DL PRS resource sets</w:t>
      </w:r>
      <w:del w:id="1" w:author="Mihai Enescu" w:date="2023-06-04T12:49:00Z">
        <w:r>
          <w:rPr>
            <w:rFonts w:ascii="Times" w:hAnsi="Times" w:cs="Times"/>
            <w:i/>
            <w:iCs/>
            <w:sz w:val="20"/>
          </w:rPr>
          <w:delText>s</w:delText>
        </w:r>
      </w:del>
      <w:r>
        <w:rPr>
          <w:rFonts w:ascii="Times" w:hAnsi="Times" w:cs="Times"/>
          <w:i/>
          <w:iCs/>
          <w:sz w:val="20"/>
        </w:rPr>
        <w:t xml:space="preserve"> across DL PRS positioning frequency layers</w:t>
      </w:r>
      <w:r>
        <w:rPr>
          <w:rFonts w:ascii="Times" w:hAnsi="Times" w:cs="Times"/>
          <w:i/>
          <w:iCs/>
          <w:strike/>
          <w:sz w:val="20"/>
        </w:rPr>
        <w:t xml:space="preserve"> [associated with a dl-PRS-ID].</w:t>
      </w:r>
      <w:r>
        <w:rPr>
          <w:rFonts w:ascii="Times" w:hAnsi="Times" w:cs="Times"/>
          <w:i/>
          <w:iCs/>
          <w:sz w:val="20"/>
        </w:rPr>
        <w:t xml:space="preserve"> </w:t>
      </w:r>
    </w:p>
    <w:p>
      <w:pPr>
        <w:pStyle w:val="139"/>
        <w:numPr>
          <w:ilvl w:val="1"/>
          <w:numId w:val="33"/>
        </w:numPr>
        <w:snapToGrid w:val="0"/>
        <w:spacing w:after="0"/>
        <w:rPr>
          <w:rFonts w:ascii="Times" w:hAnsi="Times" w:cs="Times"/>
          <w:i/>
          <w:iCs/>
          <w:sz w:val="20"/>
        </w:rPr>
      </w:pPr>
      <w:r>
        <w:rPr>
          <w:rFonts w:hint="eastAsia" w:ascii="Times" w:hAnsi="Times" w:cs="Times"/>
          <w:i/>
          <w:iCs/>
          <w:sz w:val="20"/>
          <w:lang w:eastAsia="zh-CN"/>
        </w:rPr>
        <w:t>Send an LS to ask RAN2 capture the condition of the same TRP in RAN2 specifications</w:t>
      </w:r>
    </w:p>
    <w:p>
      <w:pPr>
        <w:pStyle w:val="139"/>
        <w:numPr>
          <w:ilvl w:val="0"/>
          <w:numId w:val="33"/>
        </w:numPr>
        <w:snapToGrid w:val="0"/>
        <w:spacing w:after="0"/>
        <w:rPr>
          <w:rFonts w:ascii="Times" w:hAnsi="Times" w:cs="Times"/>
          <w:sz w:val="20"/>
          <w:lang w:eastAsia="zh-CN"/>
        </w:rPr>
      </w:pPr>
      <w:r>
        <w:rPr>
          <w:rFonts w:ascii="Times" w:hAnsi="Times" w:cs="Times"/>
          <w:sz w:val="20"/>
          <w:lang w:eastAsia="zh-CN"/>
        </w:rPr>
        <w:t>Alt.2: LMF provides additional signaling so that the UE assumes a set of higher layer parameters “</w:t>
      </w:r>
      <w:r>
        <w:rPr>
          <w:rFonts w:ascii="Times" w:hAnsi="Times" w:cs="Times"/>
          <w:i/>
          <w:iCs/>
          <w:sz w:val="20"/>
          <w:lang w:eastAsia="zh-CN"/>
        </w:rPr>
        <w:t>dl-PRS-ID</w:t>
      </w:r>
      <w:r>
        <w:rPr>
          <w:rFonts w:ascii="Times" w:hAnsi="Times" w:cs="Times"/>
          <w:sz w:val="20"/>
          <w:lang w:eastAsia="zh-CN"/>
        </w:rPr>
        <w:t>” is associated with a single TRP</w:t>
      </w:r>
    </w:p>
    <w:p>
      <w:pPr>
        <w:snapToGrid w:val="0"/>
        <w:rPr>
          <w:rFonts w:ascii="Times" w:hAnsi="Times" w:eastAsia="宋体" w:cs="Times"/>
          <w:sz w:val="20"/>
          <w:szCs w:val="20"/>
        </w:rPr>
      </w:pPr>
    </w:p>
    <w:p>
      <w:pPr>
        <w:snapToGrid w:val="0"/>
        <w:rPr>
          <w:rFonts w:ascii="Times" w:hAnsi="Times" w:eastAsia="宋体" w:cs="Times"/>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Alt1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OPPO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Alt1 is preferred.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Spreadrum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Prefer Alt 1 for simple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For Rel-16, it could be interpreted as a single TRP having multiple PRS-ID eventually allowed. However, we think that such a usage deviates from the intention of introducing PRS-ID in the first place.</w:t>
            </w:r>
          </w:p>
          <w:p>
            <w:pPr>
              <w:snapToGrid w:val="0"/>
              <w:rPr>
                <w:rFonts w:eastAsiaTheme="minorEastAsia"/>
                <w:iCs/>
                <w:sz w:val="18"/>
                <w:szCs w:val="18"/>
                <w:lang w:val="en-GB"/>
              </w:rPr>
            </w:pPr>
            <w:r>
              <w:rPr>
                <w:rFonts w:hint="eastAsia" w:eastAsiaTheme="minorEastAsia"/>
                <w:iCs/>
                <w:sz w:val="18"/>
                <w:szCs w:val="18"/>
                <w:lang w:val="en-GB"/>
              </w:rPr>
              <w:t>The PRS-ID, which was initially referred to as an ID in RAN1 to denote a TRP due to RAN1 reclutance to define TRP ID, was introduced to uniquely identified a PRS resource using PRS resource set ID and PRS resource ID. We also have the PRS resource set ID from 0 to 7 so that up to 8 resource sets across all positioning frequency layers for a TRP can be numbered under the same PRS ID.</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Now that in Rel-18, for the BW aggregation, it anyway requires the assistance data update to incorporate the new features, and using a single PRS-ID for aggregated resources belonging to a single TRP is the most straightforward way.</w:t>
            </w:r>
          </w:p>
          <w:p>
            <w:pPr>
              <w:snapToGrid w:val="0"/>
              <w:rPr>
                <w:rFonts w:eastAsiaTheme="minorEastAsia"/>
                <w:iCs/>
                <w:sz w:val="18"/>
                <w:szCs w:val="18"/>
                <w:lang w:val="en-GB"/>
              </w:rPr>
            </w:pPr>
          </w:p>
          <w:p>
            <w:pPr>
              <w:snapToGrid w:val="0"/>
              <w:rPr>
                <w:rFonts w:eastAsiaTheme="minorEastAsia"/>
                <w:iCs/>
                <w:sz w:val="18"/>
                <w:szCs w:val="18"/>
                <w:lang w:val="en-GB"/>
              </w:rPr>
            </w:pPr>
            <w:r>
              <w:rPr>
                <w:rFonts w:hint="eastAsia" w:eastAsiaTheme="minorEastAsia"/>
                <w:iCs/>
                <w:sz w:val="18"/>
                <w:szCs w:val="18"/>
                <w:lang w:val="en-GB"/>
              </w:rPr>
              <w:t>Otherwise, the UE measurement reporting will be complicated. Also the NRPPa specification, where the real TRP-ID is used, will also be confused.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Malgun Gothic"/>
                <w:iCs/>
                <w:sz w:val="18"/>
                <w:szCs w:val="18"/>
                <w:lang w:eastAsia="ko-KR"/>
              </w:rPr>
              <w:t>LGE</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 xml:space="preserve">According to the spec, constructing PRS-ID as described in the first bullet seems not precluded. However, we believe the original intention is not aligned with this construction. Moreover, it may impact legacy UE behaviour; if legacy UE implrementation does not assume such an interpretation, the UE would think there is error on configured PRS-ID. </w:t>
            </w:r>
          </w:p>
          <w:p>
            <w:pPr>
              <w:snapToGrid w:val="0"/>
              <w:rPr>
                <w:rFonts w:eastAsiaTheme="minorEastAsia"/>
                <w:iCs/>
                <w:sz w:val="18"/>
                <w:szCs w:val="18"/>
                <w:lang w:val="en-GB"/>
              </w:rPr>
            </w:pPr>
            <w:r>
              <w:rPr>
                <w:rFonts w:hint="eastAsia" w:eastAsia="Malgun Gothic"/>
                <w:iCs/>
                <w:sz w:val="18"/>
                <w:szCs w:val="18"/>
                <w:lang w:val="en-GB" w:eastAsia="ko-KR"/>
              </w:rPr>
              <w:t>So we prefer more straight forward way: 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Ericsson</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We prefer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Nokia/NSB</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We don’t think Alt 1 can address this issue. We would propose Alt 2, or we should restrict the the</w:t>
            </w:r>
            <w:r>
              <w:rPr>
                <w:rFonts w:hint="eastAsia" w:eastAsia="宋体"/>
                <w:iCs/>
                <w:sz w:val="18"/>
                <w:szCs w:val="18"/>
              </w:rPr>
              <w:t xml:space="preserve"> </w:t>
            </w:r>
            <w:r>
              <w:rPr>
                <w:rFonts w:hint="eastAsia" w:eastAsia="Malgun Gothic"/>
                <w:iCs/>
                <w:sz w:val="18"/>
                <w:szCs w:val="18"/>
                <w:lang w:val="en-GB" w:eastAsia="ko-KR"/>
              </w:rPr>
              <w:t xml:space="preserve">dl-PRS-ID should be the same for the configured PRS resource sets for the BWP aggregation. </w:t>
            </w:r>
          </w:p>
        </w:tc>
      </w:tr>
    </w:tbl>
    <w:p>
      <w:pPr>
        <w:pStyle w:val="40"/>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Offline</w:t>
      </w:r>
    </w:p>
    <w:p>
      <w:pPr>
        <w:snapToGrid w:val="0"/>
        <w:rPr>
          <w:rFonts w:eastAsia="宋体"/>
          <w:sz w:val="20"/>
          <w:szCs w:val="20"/>
        </w:rPr>
      </w:pPr>
      <w:r>
        <w:rPr>
          <w:rFonts w:eastAsia="宋体"/>
          <w:sz w:val="20"/>
          <w:szCs w:val="20"/>
        </w:rPr>
        <w:t xml:space="preserve">After the offline discussion, companies have consensus to send LS to RAN2 to list the two interpretations, and let RAN2 decide how to capture the condition of the same TRP. </w:t>
      </w:r>
    </w:p>
    <w:p>
      <w:pPr>
        <w:snapToGrid w:val="0"/>
        <w:rPr>
          <w:rFonts w:eastAsia="宋体"/>
          <w:sz w:val="20"/>
          <w:szCs w:val="20"/>
        </w:rPr>
      </w:pPr>
      <w:r>
        <w:rPr>
          <w:rFonts w:eastAsia="宋体"/>
          <w:sz w:val="20"/>
          <w:szCs w:val="20"/>
        </w:rPr>
        <w:t xml:space="preserve">FL’s suggestion is: </w:t>
      </w:r>
    </w:p>
    <w:p>
      <w:pPr>
        <w:snapToGrid w:val="0"/>
        <w:rPr>
          <w:rFonts w:eastAsia="宋体"/>
          <w:sz w:val="20"/>
          <w:szCs w:val="20"/>
        </w:rPr>
      </w:pPr>
    </w:p>
    <w:p>
      <w:pPr>
        <w:snapToGrid w:val="0"/>
        <w:rPr>
          <w:rFonts w:eastAsia="宋体"/>
          <w:sz w:val="20"/>
          <w:szCs w:val="20"/>
        </w:rPr>
      </w:pPr>
      <w:r>
        <w:rPr>
          <w:rFonts w:ascii="Times" w:hAnsi="Times" w:cs="Times"/>
          <w:b/>
          <w:bCs/>
          <w:sz w:val="20"/>
          <w:szCs w:val="20"/>
        </w:rPr>
        <w:t xml:space="preserve">Proposal </w:t>
      </w:r>
      <w:r>
        <w:rPr>
          <w:rFonts w:ascii="Times" w:hAnsi="Times" w:eastAsia="宋体" w:cs="Times"/>
          <w:b/>
          <w:bCs/>
          <w:sz w:val="20"/>
          <w:szCs w:val="20"/>
        </w:rPr>
        <w:t>7</w:t>
      </w:r>
      <w:r>
        <w:rPr>
          <w:rFonts w:ascii="Times" w:hAnsi="Times" w:cs="Times"/>
          <w:b/>
          <w:bCs/>
          <w:sz w:val="20"/>
          <w:szCs w:val="20"/>
        </w:rPr>
        <w:t>-</w:t>
      </w:r>
      <w:r>
        <w:rPr>
          <w:rFonts w:hint="eastAsia" w:ascii="Times" w:hAnsi="Times" w:eastAsia="宋体" w:cs="Times"/>
          <w:b/>
          <w:bCs/>
          <w:sz w:val="20"/>
          <w:szCs w:val="20"/>
        </w:rPr>
        <w:t xml:space="preserve">2: </w:t>
      </w:r>
      <w:r>
        <w:rPr>
          <w:rFonts w:hint="eastAsia" w:ascii="Times" w:hAnsi="Times" w:eastAsia="宋体" w:cs="Times"/>
          <w:sz w:val="20"/>
          <w:szCs w:val="20"/>
        </w:rPr>
        <w:t>Send an LS to RAN2 with the following content</w:t>
      </w:r>
    </w:p>
    <w:p>
      <w:pPr>
        <w:snapToGrid w:val="0"/>
        <w:spacing w:before="180" w:beforeLines="50"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val="en-GB"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39"/>
        <w:numPr>
          <w:ilvl w:val="0"/>
          <w:numId w:val="33"/>
        </w:numPr>
        <w:snapToGrid w:val="0"/>
        <w:spacing w:before="180" w:beforeLines="50" w:afterLines="50"/>
        <w:rPr>
          <w:sz w:val="20"/>
          <w:lang w:val="en-GB" w:eastAsia="ko-KR"/>
        </w:rPr>
      </w:pPr>
      <w:r>
        <w:rPr>
          <w:sz w:val="20"/>
          <w:lang w:eastAsia="zh-CN"/>
        </w:rPr>
        <w:t xml:space="preserve">Interpretation 1: PRS resource sets in different PFLs of a TRP are configured with the same </w:t>
      </w:r>
      <w:r>
        <w:rPr>
          <w:sz w:val="20"/>
          <w:lang w:val="en-GB" w:eastAsia="ko-KR"/>
        </w:rPr>
        <w:t>dl-PRS-ID</w:t>
      </w:r>
    </w:p>
    <w:p>
      <w:pPr>
        <w:pStyle w:val="139"/>
        <w:numPr>
          <w:ilvl w:val="0"/>
          <w:numId w:val="33"/>
        </w:numPr>
        <w:snapToGrid w:val="0"/>
        <w:spacing w:before="180" w:beforeLines="50"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val="en-GB" w:eastAsia="ko-KR"/>
        </w:rPr>
        <w:t>dl-PRS-ID</w:t>
      </w:r>
    </w:p>
    <w:p>
      <w:pPr>
        <w:snapToGrid w:val="0"/>
        <w:spacing w:before="180" w:beforeLines="50" w:after="180" w:afterLines="50"/>
        <w:jc w:val="both"/>
        <w:rPr>
          <w:rFonts w:eastAsia="宋体"/>
          <w:iCs/>
          <w:sz w:val="20"/>
          <w:szCs w:val="20"/>
        </w:rPr>
      </w:pPr>
      <w:r>
        <w:rPr>
          <w:rFonts w:eastAsia="Malgun Gothic"/>
          <w:iCs/>
          <w:sz w:val="20"/>
          <w:szCs w:val="20"/>
        </w:rPr>
        <w:t xml:space="preserve">For PRS bandwidth aggregation, RAN1’s agreement is that the </w:t>
      </w:r>
      <w:r>
        <w:rPr>
          <w:rFonts w:hint="eastAsia" w:eastAsia="Malgun Gothic"/>
          <w:iCs/>
          <w:sz w:val="20"/>
          <w:szCs w:val="20"/>
        </w:rPr>
        <w:t xml:space="preserve">linked </w:t>
      </w:r>
      <w:r>
        <w:rPr>
          <w:rFonts w:eastAsia="Malgun Gothic"/>
          <w:iCs/>
          <w:sz w:val="20"/>
          <w:szCs w:val="20"/>
        </w:rPr>
        <w:t>PRS</w:t>
      </w:r>
      <w:r>
        <w:rPr>
          <w:rFonts w:hint="eastAsia" w:eastAsia="Malgun Gothic"/>
          <w:iCs/>
          <w:sz w:val="20"/>
          <w:szCs w:val="20"/>
        </w:rPr>
        <w:t xml:space="preserve"> resource sets </w:t>
      </w:r>
      <w:r>
        <w:rPr>
          <w:rFonts w:eastAsia="Malgun Gothic"/>
          <w:iCs/>
          <w:sz w:val="20"/>
          <w:szCs w:val="20"/>
        </w:rPr>
        <w:t xml:space="preserve">from two or three PFLs should be from the same TRP. </w:t>
      </w:r>
      <w:r>
        <w:rPr>
          <w:rFonts w:eastAsia="宋体"/>
          <w:iCs/>
          <w:sz w:val="20"/>
          <w:szCs w:val="20"/>
        </w:rPr>
        <w:t>RAN1 kindly request</w:t>
      </w:r>
      <w:r>
        <w:rPr>
          <w:rFonts w:hint="eastAsia" w:eastAsia="宋体"/>
          <w:iCs/>
          <w:sz w:val="20"/>
          <w:szCs w:val="20"/>
        </w:rPr>
        <w:t>s</w:t>
      </w:r>
      <w:r>
        <w:rPr>
          <w:rFonts w:eastAsia="宋体"/>
          <w:iCs/>
          <w:sz w:val="20"/>
          <w:szCs w:val="20"/>
        </w:rPr>
        <w:t xml:space="preserve"> RAN2 to capture the condition of the same TRP in RAN2 specifications for PRS bandwidth aggregation. </w:t>
      </w:r>
    </w:p>
    <w:p>
      <w:pPr>
        <w:snapToGrid w:val="0"/>
        <w:spacing w:before="180" w:beforeLines="50" w:after="180" w:afterLines="50"/>
        <w:jc w:val="both"/>
        <w:rPr>
          <w:rFonts w:eastAsia="宋体"/>
          <w:iCs/>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Nokia/NSB</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Thanks for FL the proposal to resolve this issue. We support the proposal.</w:t>
            </w:r>
          </w:p>
        </w:tc>
      </w:tr>
    </w:tbl>
    <w:p>
      <w:pPr>
        <w:snapToGrid w:val="0"/>
        <w:jc w:val="both"/>
        <w:rPr>
          <w:rFonts w:eastAsia="Malgun Gothic"/>
          <w:i/>
          <w:sz w:val="20"/>
          <w:szCs w:val="20"/>
          <w:lang w:val="en-GB" w:eastAsia="ko-KR"/>
        </w:rPr>
      </w:pPr>
    </w:p>
    <w:p>
      <w:pPr>
        <w:snapToGrid w:val="0"/>
      </w:pPr>
    </w:p>
    <w:p>
      <w:pPr>
        <w:snapToGrid w:val="0"/>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Aperiodic SRS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29" w:type="dxa"/>
          </w:tcPr>
          <w:p>
            <w:pPr>
              <w:tabs>
                <w:tab w:val="left" w:pos="1276"/>
              </w:tabs>
              <w:snapToGrid w:val="0"/>
              <w:rPr>
                <w:sz w:val="20"/>
                <w:szCs w:val="20"/>
                <w:lang w:val="en-GB"/>
              </w:rPr>
            </w:pPr>
            <w:r>
              <w:rPr>
                <w:rFonts w:hint="eastAsia"/>
                <w:sz w:val="20"/>
                <w:szCs w:val="20"/>
                <w:lang w:val="en-GB"/>
              </w:rPr>
              <w:t>vivo</w:t>
            </w:r>
          </w:p>
        </w:tc>
        <w:tc>
          <w:tcPr>
            <w:tcW w:w="8221" w:type="dxa"/>
          </w:tcPr>
          <w:p>
            <w:pPr>
              <w:snapToGrid w:val="0"/>
              <w:jc w:val="both"/>
              <w:rPr>
                <w:rFonts w:eastAsia="宋体"/>
                <w:sz w:val="20"/>
                <w:szCs w:val="20"/>
              </w:rPr>
            </w:pPr>
            <w:r>
              <w:rPr>
                <w:rFonts w:hint="eastAsia" w:eastAsia="宋体"/>
                <w:sz w:val="20"/>
                <w:szCs w:val="20"/>
              </w:rPr>
              <w:t>Proposal 10:</w:t>
            </w:r>
          </w:p>
          <w:p>
            <w:pPr>
              <w:numPr>
                <w:ilvl w:val="0"/>
                <w:numId w:val="7"/>
              </w:numPr>
              <w:spacing w:after="120" w:line="260" w:lineRule="exact"/>
              <w:jc w:val="both"/>
              <w:rPr>
                <w:rFonts w:eastAsia="宋体"/>
                <w:sz w:val="20"/>
                <w:szCs w:val="20"/>
              </w:rPr>
            </w:pPr>
            <w:r>
              <w:rPr>
                <w:rFonts w:hint="eastAsia" w:eastAsia="宋体"/>
                <w:sz w:val="20"/>
                <w:szCs w:val="20"/>
              </w:rPr>
              <w:t>Single DCI-triggering SRS resource sets across the linked carriers can be supported without specification change.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rFonts w:hint="eastAsia"/>
                <w:sz w:val="20"/>
                <w:szCs w:val="20"/>
                <w:lang w:val="en-GB"/>
              </w:rPr>
              <w:t>OPPO</w:t>
            </w:r>
          </w:p>
        </w:tc>
        <w:tc>
          <w:tcPr>
            <w:tcW w:w="8221" w:type="dxa"/>
          </w:tcPr>
          <w:p>
            <w:pPr>
              <w:pStyle w:val="112"/>
              <w:rPr>
                <w:b w:val="0"/>
                <w:bCs w:val="0"/>
                <w:i w:val="0"/>
                <w:iCs w:val="0"/>
                <w:szCs w:val="20"/>
              </w:rPr>
            </w:pPr>
            <w:bookmarkStart w:id="61" w:name="_Hlk134566332"/>
            <w:r>
              <w:rPr>
                <w:rFonts w:hint="eastAsia"/>
                <w:b w:val="0"/>
                <w:bCs w:val="0"/>
                <w:i w:val="0"/>
                <w:iCs w:val="0"/>
                <w:szCs w:val="20"/>
              </w:rPr>
              <w:t>Proposal 5: The gNB can use a DCI format 0_3 or 1_3 for multi-cell PDSCH/PUSCH scheduling to trigger SRS resources for bandwidth aggregation in multiple CCs.</w:t>
            </w:r>
          </w:p>
          <w:bookmarkEnd w:id="61"/>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rFonts w:eastAsia="宋体"/>
                <w:sz w:val="20"/>
                <w:szCs w:val="20"/>
              </w:rPr>
            </w:pPr>
            <w:r>
              <w:rPr>
                <w:rFonts w:hint="eastAsia" w:eastAsia="宋体"/>
                <w:sz w:val="20"/>
                <w:szCs w:val="20"/>
              </w:rPr>
              <w:t>Spreadtrum</w:t>
            </w:r>
          </w:p>
        </w:tc>
        <w:tc>
          <w:tcPr>
            <w:tcW w:w="8221" w:type="dxa"/>
          </w:tcPr>
          <w:p>
            <w:pPr>
              <w:rPr>
                <w:sz w:val="20"/>
                <w:szCs w:val="20"/>
              </w:rPr>
            </w:pPr>
            <w:r>
              <w:rPr>
                <w:rFonts w:hint="eastAsia"/>
                <w:sz w:val="20"/>
                <w:szCs w:val="20"/>
              </w:rPr>
              <w:t>Proposal 2: Network can configure which SRS resource sets support triggering their linked SRS resource sets for positioning simultaneously when it triggered by DCI (i.e., per SRS resource set configuration).</w:t>
            </w:r>
          </w:p>
          <w:p>
            <w:pPr>
              <w:pStyle w:val="112"/>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rFonts w:hint="eastAsia"/>
                <w:sz w:val="20"/>
                <w:szCs w:val="20"/>
                <w:lang w:val="en-GB"/>
              </w:rPr>
              <w:t>QC</w:t>
            </w:r>
          </w:p>
        </w:tc>
        <w:tc>
          <w:tcPr>
            <w:tcW w:w="8221" w:type="dxa"/>
          </w:tcPr>
          <w:p>
            <w:pPr>
              <w:snapToGrid w:val="0"/>
              <w:textAlignment w:val="baseline"/>
              <w:rPr>
                <w:sz w:val="20"/>
                <w:szCs w:val="20"/>
              </w:rPr>
            </w:pPr>
            <w:bookmarkStart w:id="62" w:name="OLE_LINK15"/>
            <w:r>
              <w:rPr>
                <w:rFonts w:hint="eastAsia"/>
                <w:sz w:val="20"/>
                <w:szCs w:val="20"/>
              </w:rPr>
              <w:t>Proposal 12: With regards to the aperiodic SRS for positioning, support reusing the Rel-18 DCI framework for multi-cell PDSCH/PUSCH scheduling with a single DCI (i.e. single DCI schedules SRSs in multiple carriers) with very limited specification work in RAN1:</w:t>
            </w:r>
          </w:p>
          <w:p>
            <w:pPr>
              <w:pStyle w:val="139"/>
              <w:numPr>
                <w:ilvl w:val="0"/>
                <w:numId w:val="34"/>
              </w:numPr>
              <w:snapToGrid w:val="0"/>
              <w:spacing w:after="0"/>
              <w:rPr>
                <w:sz w:val="20"/>
              </w:rPr>
            </w:pPr>
            <w:r>
              <w:rPr>
                <w:rFonts w:hint="eastAsia"/>
                <w:sz w:val="20"/>
              </w:rPr>
              <w:t>Make the following change in Table 7.3.1.1.2-24 of 38.212:</w:t>
            </w:r>
          </w:p>
          <w:p>
            <w:pPr>
              <w:pStyle w:val="139"/>
              <w:numPr>
                <w:ilvl w:val="1"/>
                <w:numId w:val="34"/>
              </w:numPr>
              <w:snapToGrid w:val="0"/>
              <w:spacing w:after="0"/>
              <w:rPr>
                <w:sz w:val="20"/>
              </w:rPr>
            </w:pPr>
            <w:r>
              <w:rPr>
                <w:rFonts w:hint="eastAsia" w:eastAsia="Times New Roman"/>
                <w:sz w:val="20"/>
              </w:rPr>
              <w:t xml:space="preserve">SRS resource set(s) configured by SRS-PosResourceSet with an entry in aperiodicSRS-ResourceTriggerList set to 1 when triggered by DCI formats 0_1, 0_2, 1_1, </w:t>
            </w:r>
            <w:del w:id="2" w:author="Alexandros Manolakos" w:date="2023-08-08T15:04:00Z">
              <w:r>
                <w:rPr>
                  <w:rFonts w:hint="eastAsia" w:eastAsia="Times New Roman"/>
                  <w:sz w:val="20"/>
                </w:rPr>
                <w:delText xml:space="preserve">and </w:delText>
              </w:r>
            </w:del>
            <w:r>
              <w:rPr>
                <w:rFonts w:hint="eastAsia" w:eastAsia="Times New Roman"/>
                <w:sz w:val="20"/>
              </w:rPr>
              <w:t>1_2</w:t>
            </w:r>
            <w:ins w:id="3" w:author="Alexandros Manolakos" w:date="2023-08-08T15:04:00Z">
              <w:r>
                <w:rPr>
                  <w:rFonts w:hint="eastAsia" w:eastAsia="Times New Roman"/>
                  <w:sz w:val="20"/>
                </w:rPr>
                <w:t>, and 0_3.</w:t>
              </w:r>
            </w:ins>
          </w:p>
          <w:bookmarkEnd w:id="62"/>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rFonts w:hint="eastAsia"/>
                <w:sz w:val="20"/>
                <w:szCs w:val="20"/>
                <w:lang w:val="en-GB"/>
              </w:rPr>
              <w:t>Nokia</w:t>
            </w:r>
          </w:p>
        </w:tc>
        <w:tc>
          <w:tcPr>
            <w:tcW w:w="8221" w:type="dxa"/>
          </w:tcPr>
          <w:p>
            <w:pPr>
              <w:snapToGrid w:val="0"/>
              <w:rPr>
                <w:sz w:val="20"/>
                <w:szCs w:val="20"/>
              </w:rPr>
            </w:pPr>
            <w:r>
              <w:rPr>
                <w:rFonts w:hint="eastAsia"/>
                <w:sz w:val="20"/>
                <w:szCs w:val="20"/>
              </w:rPr>
              <w:t>Proposal 7: RAN1 supports single DCI triggering aperiodic positioning SRS resources across multiple carriers.</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29" w:type="dxa"/>
          </w:tcPr>
          <w:p>
            <w:pPr>
              <w:tabs>
                <w:tab w:val="left" w:pos="1276"/>
              </w:tabs>
              <w:snapToGrid w:val="0"/>
              <w:rPr>
                <w:sz w:val="20"/>
                <w:szCs w:val="20"/>
                <w:lang w:val="en-GB"/>
              </w:rPr>
            </w:pPr>
            <w:r>
              <w:rPr>
                <w:rFonts w:hint="eastAsia"/>
                <w:sz w:val="20"/>
                <w:szCs w:val="20"/>
                <w:lang w:val="en-GB"/>
              </w:rPr>
              <w:t>Intel</w:t>
            </w:r>
          </w:p>
        </w:tc>
        <w:tc>
          <w:tcPr>
            <w:tcW w:w="8221" w:type="dxa"/>
          </w:tcPr>
          <w:p>
            <w:pPr>
              <w:spacing w:before="240"/>
              <w:jc w:val="both"/>
              <w:rPr>
                <w:sz w:val="20"/>
                <w:szCs w:val="20"/>
              </w:rPr>
            </w:pPr>
            <w:r>
              <w:rPr>
                <w:rFonts w:hint="eastAsia"/>
                <w:sz w:val="20"/>
                <w:szCs w:val="20"/>
              </w:rPr>
              <w:t>Proposal 5</w:t>
            </w:r>
          </w:p>
          <w:p>
            <w:pPr>
              <w:numPr>
                <w:ilvl w:val="0"/>
                <w:numId w:val="8"/>
              </w:numPr>
              <w:spacing w:before="60"/>
              <w:ind w:left="288" w:hanging="288"/>
              <w:jc w:val="both"/>
              <w:rPr>
                <w:sz w:val="20"/>
                <w:szCs w:val="20"/>
              </w:rPr>
            </w:pPr>
            <w:r>
              <w:rPr>
                <w:rFonts w:hint="eastAsia"/>
                <w:sz w:val="20"/>
                <w:szCs w:val="20"/>
              </w:rPr>
              <w:t>For aperiodic SRS for positioning with bandwidth aggregation:</w:t>
            </w:r>
          </w:p>
          <w:p>
            <w:pPr>
              <w:numPr>
                <w:ilvl w:val="0"/>
                <w:numId w:val="9"/>
              </w:numPr>
              <w:spacing w:before="60"/>
              <w:jc w:val="both"/>
              <w:rPr>
                <w:sz w:val="20"/>
                <w:szCs w:val="20"/>
              </w:rPr>
            </w:pPr>
            <w:r>
              <w:rPr>
                <w:rFonts w:hint="eastAsia"/>
                <w:sz w:val="20"/>
                <w:szCs w:val="20"/>
              </w:rPr>
              <w:t xml:space="preserve">Support a single DCI to trigger SRS transmission in contiguous carriers simultaneously.  </w:t>
            </w:r>
          </w:p>
          <w:p>
            <w:pPr>
              <w:numPr>
                <w:ilvl w:val="0"/>
                <w:numId w:val="9"/>
              </w:numPr>
              <w:spacing w:before="60"/>
              <w:jc w:val="both"/>
              <w:rPr>
                <w:sz w:val="20"/>
                <w:szCs w:val="20"/>
              </w:rPr>
            </w:pPr>
            <w:r>
              <w:rPr>
                <w:rFonts w:hint="eastAsia"/>
                <w:sz w:val="20"/>
                <w:szCs w:val="20"/>
              </w:rPr>
              <w:t xml:space="preserve">SRS resources sets across linked CCs can be triggered, based on the linkage between SRS resource sets across contiguous carriers.  </w:t>
            </w:r>
          </w:p>
          <w:p>
            <w:pPr>
              <w:numPr>
                <w:ilvl w:val="0"/>
                <w:numId w:val="9"/>
              </w:num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rFonts w:hint="eastAsia"/>
                <w:sz w:val="20"/>
                <w:szCs w:val="20"/>
                <w:lang w:val="en-GB"/>
              </w:rPr>
              <w:t>LG</w:t>
            </w:r>
          </w:p>
        </w:tc>
        <w:tc>
          <w:tcPr>
            <w:tcW w:w="8221" w:type="dxa"/>
          </w:tcPr>
          <w:p>
            <w:pPr>
              <w:spacing w:line="360" w:lineRule="atLeast"/>
              <w:rPr>
                <w:rFonts w:eastAsia="Malgun Gothic"/>
                <w:sz w:val="20"/>
                <w:szCs w:val="20"/>
                <w:lang w:val="en-GB"/>
              </w:rPr>
            </w:pPr>
            <w:bookmarkStart w:id="63" w:name="_Hlk141811374"/>
            <w:r>
              <w:rPr>
                <w:rFonts w:hint="eastAsia" w:eastAsia="Malgun Gothic"/>
                <w:sz w:val="20"/>
                <w:szCs w:val="20"/>
                <w:lang w:val="en-GB"/>
              </w:rPr>
              <w:t xml:space="preserve">Proposal 3: Support </w:t>
            </w:r>
            <w:bookmarkStart w:id="64" w:name="OLE_LINK1"/>
            <w:r>
              <w:rPr>
                <w:rFonts w:hint="eastAsia" w:eastAsia="Malgun Gothic"/>
                <w:sz w:val="20"/>
                <w:szCs w:val="20"/>
                <w:lang w:val="en-GB"/>
              </w:rPr>
              <w:t>a single DCI scheduling positioning SRS across the linked carriers.</w:t>
            </w:r>
          </w:p>
          <w:p>
            <w:pPr>
              <w:pStyle w:val="139"/>
              <w:numPr>
                <w:ilvl w:val="0"/>
                <w:numId w:val="37"/>
              </w:numPr>
              <w:spacing w:after="0" w:line="360" w:lineRule="atLeast"/>
              <w:ind w:left="993"/>
              <w:rPr>
                <w:rFonts w:eastAsia="Malgun Gothic"/>
                <w:sz w:val="20"/>
                <w:lang w:val="en-GB"/>
              </w:rPr>
            </w:pPr>
            <w:r>
              <w:rPr>
                <w:rFonts w:hint="eastAsia" w:eastAsia="Malgun Gothic"/>
                <w:sz w:val="20"/>
                <w:lang w:val="en-GB"/>
              </w:rPr>
              <w:t xml:space="preserve">Reuse Rel-17 DCI framework without modification. </w:t>
            </w:r>
          </w:p>
          <w:p>
            <w:pPr>
              <w:pStyle w:val="139"/>
              <w:numPr>
                <w:ilvl w:val="0"/>
                <w:numId w:val="37"/>
              </w:numPr>
              <w:spacing w:after="0" w:line="360" w:lineRule="atLeast"/>
              <w:ind w:left="993"/>
              <w:rPr>
                <w:rFonts w:eastAsia="Malgun Gothic"/>
                <w:sz w:val="20"/>
                <w:lang w:val="en-GB"/>
              </w:rPr>
            </w:pPr>
            <w:r>
              <w:rPr>
                <w:rFonts w:hint="eastAsia" w:eastAsia="Malgun Gothic"/>
                <w:sz w:val="20"/>
                <w:lang w:val="en-GB"/>
              </w:rPr>
              <w:t>If a single DCI indicates transmission of positioning SRS resource(s) which has preconfigured association with SRS resources at other carrier(s), UE can transmit aperiodic positioning SRS resources across linked carriers for bandwidth aggregation.</w:t>
            </w:r>
          </w:p>
          <w:bookmarkEnd w:id="63"/>
          <w:bookmarkEnd w:id="64"/>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rFonts w:hint="eastAsia"/>
                <w:sz w:val="20"/>
                <w:szCs w:val="20"/>
                <w:lang w:val="en-GB"/>
              </w:rPr>
              <w:t>Apple</w:t>
            </w:r>
          </w:p>
        </w:tc>
        <w:tc>
          <w:tcPr>
            <w:tcW w:w="8221" w:type="dxa"/>
          </w:tcPr>
          <w:p>
            <w:pPr>
              <w:jc w:val="both"/>
              <w:rPr>
                <w:sz w:val="20"/>
                <w:szCs w:val="20"/>
              </w:rPr>
            </w:pPr>
            <w:r>
              <w:rPr>
                <w:rFonts w:hint="eastAsia"/>
                <w:sz w:val="20"/>
                <w:szCs w:val="20"/>
              </w:rPr>
              <w:t>Proposal 13: Cross Carrier Scheduling: Discuss whether a single trigger can start the transmission of the SRSps on the different CCs.</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rFonts w:hint="eastAsia"/>
                <w:sz w:val="20"/>
                <w:szCs w:val="20"/>
                <w:lang w:val="en-GB"/>
              </w:rPr>
              <w:t>ZTE</w:t>
            </w:r>
          </w:p>
        </w:tc>
        <w:tc>
          <w:tcPr>
            <w:tcW w:w="8221" w:type="dxa"/>
          </w:tcPr>
          <w:p>
            <w:pPr>
              <w:pStyle w:val="150"/>
              <w:snapToGrid w:val="0"/>
              <w:spacing w:after="0"/>
              <w:jc w:val="both"/>
              <w:rPr>
                <w:rFonts w:ascii="Times New Roman" w:hAnsi="Times New Roman"/>
                <w:b w:val="0"/>
                <w:bCs w:val="0"/>
                <w:sz w:val="20"/>
                <w:szCs w:val="20"/>
              </w:rPr>
            </w:pPr>
            <w:r>
              <w:rPr>
                <w:rFonts w:hint="eastAsia" w:ascii="Times New Roman" w:hAnsi="Times New Roman"/>
                <w:b w:val="0"/>
                <w:bCs w:val="0"/>
                <w:sz w:val="20"/>
                <w:szCs w:val="20"/>
              </w:rPr>
              <w:t xml:space="preserve">Proposal 6: To trigger aperiodic positioning SRS transmission for bandwidth aggregation, the mechanism of multi-cell PDSCH/PUSCH scheduling with a single DCI is reused. </w:t>
            </w:r>
          </w:p>
          <w:p>
            <w:pPr>
              <w:tabs>
                <w:tab w:val="left" w:pos="640"/>
              </w:tabs>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bookmarkStart w:id="65" w:name="OLE_LINK23"/>
            <w:bookmarkStart w:id="66" w:name="OLE_LINK22"/>
            <w:r>
              <w:rPr>
                <w:rFonts w:hint="eastAsia" w:eastAsia="宋体"/>
                <w:sz w:val="20"/>
                <w:szCs w:val="20"/>
              </w:rPr>
              <w:t>RUIJIE</w:t>
            </w:r>
            <w:bookmarkEnd w:id="65"/>
          </w:p>
          <w:p>
            <w:pPr>
              <w:tabs>
                <w:tab w:val="left" w:pos="1276"/>
              </w:tabs>
              <w:snapToGrid w:val="0"/>
              <w:rPr>
                <w:rFonts w:eastAsia="宋体"/>
                <w:sz w:val="20"/>
                <w:szCs w:val="20"/>
              </w:rPr>
            </w:pPr>
            <w:r>
              <w:rPr>
                <w:rFonts w:hint="eastAsia" w:eastAsia="宋体"/>
                <w:sz w:val="20"/>
                <w:szCs w:val="20"/>
              </w:rPr>
              <w:t>network</w:t>
            </w:r>
            <w:bookmarkEnd w:id="66"/>
          </w:p>
        </w:tc>
        <w:tc>
          <w:tcPr>
            <w:tcW w:w="8221" w:type="dxa"/>
          </w:tcPr>
          <w:p>
            <w:pPr>
              <w:rPr>
                <w:sz w:val="20"/>
                <w:szCs w:val="20"/>
              </w:rPr>
            </w:pPr>
            <w:r>
              <w:rPr>
                <w:rFonts w:hint="eastAsia"/>
                <w:sz w:val="20"/>
                <w:szCs w:val="20"/>
              </w:rPr>
              <w:t>Proposal 3: With regard to support of aperiodic positioning SRS for bandwidth aggregation for UEs in RRC_CONNECTED state, the existing Rel-17 DCI framework (i.e. use multiple DCIs schedule SRSs in multiple carriers) can be enough.</w:t>
            </w:r>
          </w:p>
          <w:p>
            <w:pPr>
              <w:tabs>
                <w:tab w:val="left" w:pos="640"/>
              </w:tabs>
              <w:snapToGrid w:val="0"/>
              <w:rPr>
                <w:sz w:val="20"/>
                <w:szCs w:val="20"/>
              </w:rPr>
            </w:pPr>
          </w:p>
        </w:tc>
      </w:tr>
    </w:tbl>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14"/>
              <w:spacing w:after="0"/>
              <w:ind w:left="284" w:hanging="284"/>
              <w:rPr>
                <w:sz w:val="20"/>
                <w:szCs w:val="20"/>
                <w:u w:val="single"/>
              </w:rPr>
            </w:pPr>
            <w:r>
              <w:rPr>
                <w:rFonts w:hint="eastAsia"/>
                <w:b/>
                <w:bCs/>
                <w:sz w:val="20"/>
                <w:szCs w:val="20"/>
                <w:u w:val="single"/>
              </w:rPr>
              <w:t>Agreement</w:t>
            </w:r>
          </w:p>
          <w:p>
            <w:pPr>
              <w:rPr>
                <w:rFonts w:eastAsia="宋体"/>
                <w:sz w:val="20"/>
                <w:szCs w:val="20"/>
              </w:rPr>
            </w:pPr>
            <w:bookmarkStart w:id="67" w:name="OLE_LINK49"/>
            <w:r>
              <w:rPr>
                <w:rFonts w:hint="eastAsia" w:eastAsia="宋体"/>
                <w:sz w:val="20"/>
                <w:szCs w:val="20"/>
              </w:rPr>
              <w:t>With regard to s</w:t>
            </w:r>
            <w:r>
              <w:rPr>
                <w:rFonts w:hint="eastAsia"/>
                <w:sz w:val="20"/>
                <w:szCs w:val="20"/>
              </w:rPr>
              <w:t xml:space="preserve">upport </w:t>
            </w:r>
            <w:r>
              <w:rPr>
                <w:rFonts w:hint="eastAsia" w:eastAsia="宋体"/>
                <w:sz w:val="20"/>
                <w:szCs w:val="20"/>
              </w:rPr>
              <w:t xml:space="preserve">of </w:t>
            </w:r>
            <w:r>
              <w:rPr>
                <w:rFonts w:hint="eastAsia"/>
                <w:sz w:val="20"/>
                <w:szCs w:val="20"/>
              </w:rPr>
              <w:t>aperiodic positioning SRS for bandwidth aggregation for UEs in RRC_CONNECTED state</w:t>
            </w:r>
            <w:bookmarkEnd w:id="67"/>
            <w:r>
              <w:rPr>
                <w:rFonts w:hint="eastAsia" w:eastAsia="宋体"/>
                <w:sz w:val="20"/>
                <w:szCs w:val="20"/>
              </w:rPr>
              <w:t>, at least the existing Rel-17 DCI framework (</w:t>
            </w:r>
            <w:r>
              <w:rPr>
                <w:rFonts w:hint="eastAsia"/>
                <w:bCs/>
                <w:sz w:val="20"/>
                <w:szCs w:val="20"/>
              </w:rPr>
              <w:t>i.e. use multiple DCIs schedule SRSs in multiple carriers</w:t>
            </w:r>
            <w:r>
              <w:rPr>
                <w:rFonts w:hint="eastAsia" w:eastAsia="宋体"/>
                <w:sz w:val="20"/>
                <w:szCs w:val="20"/>
              </w:rPr>
              <w:t>) can be reused</w:t>
            </w:r>
          </w:p>
          <w:p>
            <w:pPr>
              <w:pStyle w:val="139"/>
              <w:numPr>
                <w:ilvl w:val="0"/>
                <w:numId w:val="12"/>
              </w:numPr>
              <w:snapToGrid w:val="0"/>
              <w:spacing w:after="0"/>
              <w:rPr>
                <w:sz w:val="20"/>
              </w:rPr>
            </w:pPr>
            <w:r>
              <w:rPr>
                <w:rFonts w:hint="eastAsia"/>
                <w:sz w:val="20"/>
              </w:rPr>
              <w:t xml:space="preserve">FFS: whether Rel-18 DCI framework for multi-cell PDSCH/PUSCH scheduling with a single DCI (i.e. single </w:t>
            </w:r>
            <w:r>
              <w:rPr>
                <w:rFonts w:hint="eastAsia" w:eastAsia="等线"/>
                <w:sz w:val="20"/>
              </w:rPr>
              <w:t>DCI</w:t>
            </w:r>
            <w:r>
              <w:rPr>
                <w:rFonts w:hint="eastAsia"/>
                <w:sz w:val="20"/>
              </w:rPr>
              <w:t xml:space="preserve"> schedules SRSs in multiple carriers) can also be reused with or without specification work in RAN1.</w:t>
            </w:r>
          </w:p>
          <w:p>
            <w:pPr>
              <w:snapToGrid w:val="0"/>
              <w:rPr>
                <w:bCs/>
                <w:iCs/>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Cs/>
          <w:sz w:val="20"/>
          <w:szCs w:val="20"/>
        </w:rPr>
        <w:t>Several companies support to completely reuse the existing Rel-18 DCI framework for multi-cell pDSCH/PUSCH, probably with minor TP update.</w:t>
      </w:r>
    </w:p>
    <w:p>
      <w:pPr>
        <w:snapToGrid w:val="0"/>
        <w:jc w:val="both"/>
        <w:rPr>
          <w:rFonts w:eastAsia="宋体"/>
          <w:b/>
          <w:bCs/>
          <w:sz w:val="20"/>
          <w:szCs w:val="20"/>
        </w:rPr>
      </w:pPr>
      <w:r>
        <w:rPr>
          <w:rFonts w:hint="eastAsia" w:eastAsia="宋体"/>
          <w:bCs/>
          <w:sz w:val="20"/>
          <w:szCs w:val="20"/>
        </w:rPr>
        <w:t xml:space="preserve">However, some other companies think the Rel-17 single DCI framework can be used with RRC linkage. Since it was agreed that the UE support of positioning SRS bandwidth aggregation in RRC_CONNECTED state is decoupled from the UE support of communication CA. If we reuse the mechanism of multi-cell PDSCH/PUSCH scheduling with a single DCI, it means that UE support of aperiodic positioning SRS for bandwidth aggregation for UEs in RRC_CONNECTED state can only be coupled with the UE support of communication CA. </w:t>
      </w:r>
    </w:p>
    <w:p>
      <w:pPr>
        <w:snapToGrid w:val="0"/>
        <w:spacing w:before="120" w:after="180" w:afterLines="50"/>
        <w:jc w:val="both"/>
        <w:rPr>
          <w:rFonts w:eastAsia="宋体"/>
          <w:bCs/>
          <w:sz w:val="20"/>
          <w:szCs w:val="20"/>
        </w:rPr>
      </w:pPr>
      <w:r>
        <w:rPr>
          <w:rFonts w:hint="eastAsia" w:eastAsia="宋体"/>
          <w:bCs/>
          <w:sz w:val="20"/>
          <w:szCs w:val="20"/>
        </w:rPr>
        <w:t>Here is the summary:</w:t>
      </w:r>
    </w:p>
    <w:p>
      <w:pPr>
        <w:pStyle w:val="139"/>
        <w:numPr>
          <w:ilvl w:val="0"/>
          <w:numId w:val="18"/>
        </w:numPr>
        <w:snapToGrid w:val="0"/>
        <w:jc w:val="both"/>
        <w:rPr>
          <w:rFonts w:eastAsia="Malgun Gothic"/>
          <w:bCs/>
          <w:sz w:val="20"/>
          <w:szCs w:val="15"/>
          <w:lang w:val="en-GB"/>
        </w:rPr>
      </w:pPr>
      <w:bookmarkStart w:id="68" w:name="OLE_LINK50"/>
      <w:r>
        <w:rPr>
          <w:rFonts w:hint="eastAsia" w:ascii="Times" w:hAnsi="Times" w:cs="Times"/>
          <w:sz w:val="20"/>
          <w:lang w:eastAsia="zh-CN"/>
        </w:rPr>
        <w:t>Alt.1: Support a Rel-17</w:t>
      </w:r>
      <w:r>
        <w:rPr>
          <w:rFonts w:ascii="Times" w:hAnsi="Times" w:cs="Times"/>
          <w:sz w:val="20"/>
          <w:lang w:val="en-GB" w:eastAsia="zh-CN"/>
        </w:rPr>
        <w:t xml:space="preserve"> single DCI scheduling positioning SRS</w:t>
      </w:r>
      <w:r>
        <w:rPr>
          <w:rFonts w:hint="eastAsia" w:ascii="Times" w:hAnsi="Times" w:cs="Times"/>
          <w:sz w:val="20"/>
          <w:lang w:eastAsia="zh-CN"/>
        </w:rPr>
        <w:t xml:space="preserve"> resource sets</w:t>
      </w:r>
      <w:r>
        <w:rPr>
          <w:rFonts w:ascii="Times" w:hAnsi="Times" w:cs="Times"/>
          <w:sz w:val="20"/>
          <w:lang w:val="en-GB" w:eastAsia="zh-CN"/>
        </w:rPr>
        <w:t xml:space="preserve"> across the linked carriers.</w:t>
      </w:r>
      <w:bookmarkStart w:id="69" w:name="OLE_LINK19"/>
    </w:p>
    <w:p>
      <w:pPr>
        <w:pStyle w:val="139"/>
        <w:numPr>
          <w:ilvl w:val="1"/>
          <w:numId w:val="18"/>
        </w:numPr>
        <w:snapToGrid w:val="0"/>
        <w:jc w:val="both"/>
        <w:rPr>
          <w:rFonts w:eastAsia="Malgun Gothic"/>
          <w:bCs/>
          <w:sz w:val="20"/>
          <w:szCs w:val="15"/>
          <w:lang w:val="en-GB"/>
        </w:rPr>
      </w:pPr>
      <w:r>
        <w:rPr>
          <w:rFonts w:eastAsia="Malgun Gothic"/>
          <w:bCs/>
          <w:sz w:val="20"/>
          <w:szCs w:val="15"/>
          <w:lang w:val="en-GB"/>
        </w:rPr>
        <w:t>Reuse Rel-17 DCI framework without modification</w:t>
      </w:r>
      <w:bookmarkEnd w:id="69"/>
      <w:r>
        <w:rPr>
          <w:rFonts w:eastAsia="Malgun Gothic"/>
          <w:bCs/>
          <w:sz w:val="20"/>
          <w:szCs w:val="15"/>
          <w:lang w:val="en-GB"/>
        </w:rPr>
        <w:t xml:space="preserve">. </w:t>
      </w:r>
    </w:p>
    <w:p>
      <w:pPr>
        <w:pStyle w:val="139"/>
        <w:numPr>
          <w:ilvl w:val="1"/>
          <w:numId w:val="18"/>
        </w:numPr>
        <w:snapToGrid w:val="0"/>
        <w:jc w:val="both"/>
        <w:rPr>
          <w:rFonts w:eastAsia="Malgun Gothic"/>
          <w:bCs/>
          <w:sz w:val="20"/>
          <w:szCs w:val="15"/>
          <w:lang w:val="en-GB"/>
        </w:rPr>
      </w:pPr>
      <w:r>
        <w:rPr>
          <w:rFonts w:eastAsia="Malgun Gothic"/>
          <w:bCs/>
          <w:sz w:val="20"/>
          <w:szCs w:val="15"/>
          <w:lang w:val="en-GB"/>
        </w:rPr>
        <w:t xml:space="preserve">If a single DCI indicates transmission of </w:t>
      </w:r>
      <w:r>
        <w:rPr>
          <w:rFonts w:hint="eastAsia"/>
          <w:bCs/>
          <w:sz w:val="20"/>
          <w:szCs w:val="15"/>
          <w:lang w:eastAsia="zh-CN"/>
        </w:rPr>
        <w:t xml:space="preserve">an aperiodic </w:t>
      </w:r>
      <w:r>
        <w:rPr>
          <w:rFonts w:eastAsia="Malgun Gothic"/>
          <w:bCs/>
          <w:sz w:val="20"/>
          <w:szCs w:val="15"/>
          <w:lang w:val="en-GB"/>
        </w:rPr>
        <w:t>positioning SRS resource</w:t>
      </w:r>
      <w:r>
        <w:rPr>
          <w:rFonts w:hint="eastAsia"/>
          <w:bCs/>
          <w:sz w:val="20"/>
          <w:szCs w:val="15"/>
          <w:lang w:eastAsia="zh-CN"/>
        </w:rPr>
        <w:t xml:space="preserve"> set,</w:t>
      </w:r>
      <w:r>
        <w:rPr>
          <w:rFonts w:eastAsia="Malgun Gothic"/>
          <w:bCs/>
          <w:sz w:val="20"/>
          <w:szCs w:val="15"/>
          <w:lang w:val="en-GB"/>
        </w:rPr>
        <w:t xml:space="preserve"> UE transmit</w:t>
      </w:r>
      <w:r>
        <w:rPr>
          <w:rFonts w:hint="eastAsia"/>
          <w:bCs/>
          <w:sz w:val="20"/>
          <w:szCs w:val="15"/>
          <w:lang w:eastAsia="zh-CN"/>
        </w:rPr>
        <w:t>s</w:t>
      </w:r>
      <w:r>
        <w:rPr>
          <w:rFonts w:eastAsia="Malgun Gothic"/>
          <w:bCs/>
          <w:sz w:val="20"/>
          <w:szCs w:val="15"/>
          <w:lang w:val="en-GB"/>
        </w:rPr>
        <w:t xml:space="preserve"> aperiodic positioning SRS resource</w:t>
      </w:r>
      <w:r>
        <w:rPr>
          <w:rFonts w:hint="eastAsia"/>
          <w:bCs/>
          <w:sz w:val="20"/>
          <w:szCs w:val="15"/>
          <w:lang w:eastAsia="zh-CN"/>
        </w:rPr>
        <w:t xml:space="preserve"> sets</w:t>
      </w:r>
      <w:r>
        <w:rPr>
          <w:rFonts w:eastAsia="Malgun Gothic"/>
          <w:bCs/>
          <w:sz w:val="20"/>
          <w:szCs w:val="15"/>
          <w:lang w:val="en-GB"/>
        </w:rPr>
        <w:t xml:space="preserve"> across </w:t>
      </w:r>
      <w:r>
        <w:rPr>
          <w:rFonts w:hint="eastAsia"/>
          <w:bCs/>
          <w:sz w:val="20"/>
          <w:szCs w:val="15"/>
          <w:lang w:eastAsia="zh-CN"/>
        </w:rPr>
        <w:t xml:space="preserve">all </w:t>
      </w:r>
      <w:r>
        <w:rPr>
          <w:rFonts w:eastAsia="Malgun Gothic"/>
          <w:bCs/>
          <w:sz w:val="20"/>
          <w:szCs w:val="15"/>
          <w:lang w:val="en-GB"/>
        </w:rPr>
        <w:t>linked carriers for bandwidth aggregation.</w:t>
      </w:r>
    </w:p>
    <w:p>
      <w:pPr>
        <w:pStyle w:val="139"/>
        <w:numPr>
          <w:ilvl w:val="1"/>
          <w:numId w:val="18"/>
        </w:numPr>
        <w:snapToGrid w:val="0"/>
        <w:jc w:val="both"/>
        <w:rPr>
          <w:rFonts w:eastAsia="Malgun Gothic"/>
          <w:bCs/>
          <w:sz w:val="20"/>
          <w:szCs w:val="15"/>
          <w:lang w:val="en-GB"/>
        </w:rPr>
      </w:pPr>
      <w:r>
        <w:rPr>
          <w:rFonts w:hint="eastAsia"/>
          <w:bCs/>
          <w:sz w:val="20"/>
          <w:lang w:eastAsia="zh-CN"/>
        </w:rPr>
        <w:t>LG, Spreadtrum, Intel, vivo??</w:t>
      </w:r>
    </w:p>
    <w:p>
      <w:pPr>
        <w:pStyle w:val="139"/>
        <w:numPr>
          <w:ilvl w:val="0"/>
          <w:numId w:val="18"/>
        </w:numPr>
        <w:snapToGrid w:val="0"/>
        <w:jc w:val="both"/>
        <w:rPr>
          <w:rFonts w:ascii="Times" w:hAnsi="Times" w:cs="Times"/>
          <w:sz w:val="20"/>
          <w:lang w:val="en-GB" w:eastAsia="zh-CN"/>
        </w:rPr>
      </w:pPr>
      <w:r>
        <w:rPr>
          <w:rFonts w:hint="eastAsia" w:ascii="Times" w:hAnsi="Times" w:cs="Times"/>
          <w:sz w:val="20"/>
          <w:lang w:eastAsia="zh-CN"/>
        </w:rPr>
        <w:t>Alt.2: Support to use a DCI format 0_3 or 1_3 for multi-cell PDSCH/PUSCH scheduling to trigger SRS resources for bandwidth aggregation in multiple CCs</w:t>
      </w:r>
    </w:p>
    <w:bookmarkEnd w:id="68"/>
    <w:p>
      <w:pPr>
        <w:pStyle w:val="139"/>
        <w:numPr>
          <w:ilvl w:val="1"/>
          <w:numId w:val="18"/>
        </w:numPr>
        <w:snapToGrid w:val="0"/>
        <w:jc w:val="both"/>
        <w:rPr>
          <w:b/>
          <w:bCs/>
          <w:sz w:val="20"/>
          <w:lang w:eastAsia="zh-CN"/>
        </w:rPr>
      </w:pPr>
      <w:r>
        <w:rPr>
          <w:rFonts w:hint="eastAsia" w:ascii="Times" w:hAnsi="Times" w:cs="Times"/>
          <w:sz w:val="20"/>
          <w:lang w:eastAsia="zh-CN"/>
        </w:rPr>
        <w:t xml:space="preserve">Qualcomm, </w:t>
      </w:r>
      <w:r>
        <w:rPr>
          <w:rFonts w:hint="eastAsia"/>
          <w:sz w:val="20"/>
          <w:lang w:eastAsia="zh-CN"/>
        </w:rPr>
        <w:t xml:space="preserve"> ZTE, Nokia, OPPO, RUIJIE network</w:t>
      </w:r>
    </w:p>
    <w:p>
      <w:pPr>
        <w:snapToGrid w:val="0"/>
        <w:jc w:val="both"/>
        <w:rPr>
          <w:b/>
          <w:bCs/>
          <w:sz w:val="20"/>
          <w:szCs w:val="20"/>
        </w:rPr>
      </w:pPr>
    </w:p>
    <w:p>
      <w:pPr>
        <w:snapToGrid w:val="0"/>
        <w:jc w:val="both"/>
        <w:rPr>
          <w:rFonts w:ascii="Times" w:hAnsi="Times" w:cs="Times"/>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ascii="Times" w:hAnsi="Times" w:eastAsia="宋体" w:cs="Times"/>
          <w:b/>
          <w:bCs/>
          <w:sz w:val="20"/>
          <w:szCs w:val="20"/>
        </w:rPr>
        <w:t>8</w:t>
      </w:r>
      <w:r>
        <w:rPr>
          <w:rFonts w:ascii="Times" w:hAnsi="Times" w:cs="Times"/>
          <w:b/>
          <w:bCs/>
          <w:sz w:val="20"/>
          <w:szCs w:val="20"/>
        </w:rPr>
        <w:t>-1</w:t>
      </w:r>
      <w:r>
        <w:rPr>
          <w:rFonts w:ascii="Times" w:hAnsi="Times" w:eastAsia="宋体" w:cs="Times"/>
          <w:b/>
          <w:bCs/>
          <w:sz w:val="20"/>
          <w:szCs w:val="20"/>
        </w:rPr>
        <w:t xml:space="preserve"> </w:t>
      </w:r>
    </w:p>
    <w:p>
      <w:pPr>
        <w:snapToGrid w:val="0"/>
        <w:jc w:val="both"/>
        <w:rPr>
          <w:rFonts w:ascii="Times" w:hAnsi="Times" w:eastAsia="宋体" w:cs="Times"/>
          <w:sz w:val="20"/>
          <w:szCs w:val="20"/>
        </w:rPr>
      </w:pPr>
      <w:r>
        <w:rPr>
          <w:rFonts w:ascii="Times" w:hAnsi="Times" w:eastAsia="宋体" w:cs="Times"/>
          <w:sz w:val="20"/>
          <w:szCs w:val="20"/>
        </w:rPr>
        <w:t xml:space="preserve">With regard to </w:t>
      </w:r>
      <w:r>
        <w:rPr>
          <w:rFonts w:ascii="Times" w:hAnsi="Times" w:cs="Times"/>
          <w:sz w:val="20"/>
          <w:szCs w:val="20"/>
        </w:rPr>
        <w:t>aperiodic positioning SRS for bandwidth aggregation for UEs in RRC_CONNECTED state</w:t>
      </w:r>
      <w:r>
        <w:rPr>
          <w:rFonts w:ascii="Times" w:hAnsi="Times" w:eastAsia="宋体" w:cs="Times"/>
          <w:sz w:val="20"/>
          <w:szCs w:val="20"/>
        </w:rPr>
        <w:t>, support one or both of the following options:</w:t>
      </w:r>
    </w:p>
    <w:p>
      <w:pPr>
        <w:pStyle w:val="139"/>
        <w:numPr>
          <w:ilvl w:val="0"/>
          <w:numId w:val="18"/>
        </w:numPr>
        <w:snapToGrid w:val="0"/>
        <w:jc w:val="both"/>
        <w:rPr>
          <w:rFonts w:ascii="Times" w:hAnsi="Times" w:eastAsia="Malgun Gothic" w:cs="Times"/>
          <w:bCs/>
          <w:sz w:val="20"/>
          <w:szCs w:val="15"/>
          <w:lang w:val="en-GB"/>
        </w:rPr>
      </w:pPr>
      <w:r>
        <w:rPr>
          <w:rFonts w:ascii="Times" w:hAnsi="Times" w:cs="Times"/>
          <w:sz w:val="20"/>
          <w:lang w:eastAsia="zh-CN"/>
        </w:rPr>
        <w:t>Option 1: Support a Rel-17</w:t>
      </w:r>
      <w:r>
        <w:rPr>
          <w:rFonts w:ascii="Times" w:hAnsi="Times" w:cs="Times"/>
          <w:sz w:val="20"/>
          <w:lang w:val="en-GB" w:eastAsia="zh-CN"/>
        </w:rPr>
        <w:t xml:space="preserve"> single DCI scheduling positioning SRS</w:t>
      </w:r>
      <w:r>
        <w:rPr>
          <w:rFonts w:ascii="Times" w:hAnsi="Times" w:cs="Times"/>
          <w:sz w:val="20"/>
          <w:lang w:eastAsia="zh-CN"/>
        </w:rPr>
        <w:t xml:space="preserve"> resource sets</w:t>
      </w:r>
      <w:r>
        <w:rPr>
          <w:rFonts w:ascii="Times" w:hAnsi="Times" w:cs="Times"/>
          <w:sz w:val="20"/>
          <w:lang w:val="en-GB" w:eastAsia="zh-CN"/>
        </w:rPr>
        <w:t xml:space="preserve"> across the linked carriers.</w:t>
      </w:r>
    </w:p>
    <w:p>
      <w:pPr>
        <w:pStyle w:val="139"/>
        <w:numPr>
          <w:ilvl w:val="1"/>
          <w:numId w:val="18"/>
        </w:numPr>
        <w:snapToGrid w:val="0"/>
        <w:jc w:val="both"/>
        <w:rPr>
          <w:rFonts w:ascii="Times" w:hAnsi="Times" w:eastAsia="Malgun Gothic" w:cs="Times"/>
          <w:bCs/>
          <w:sz w:val="20"/>
          <w:szCs w:val="15"/>
          <w:lang w:val="en-GB"/>
        </w:rPr>
      </w:pPr>
      <w:r>
        <w:rPr>
          <w:rFonts w:ascii="Times" w:hAnsi="Times" w:eastAsia="Malgun Gothic" w:cs="Times"/>
          <w:bCs/>
          <w:sz w:val="20"/>
          <w:szCs w:val="15"/>
          <w:lang w:val="en-GB"/>
        </w:rPr>
        <w:t xml:space="preserve">Reuse Rel-17 DCI framework without modification. </w:t>
      </w:r>
    </w:p>
    <w:p>
      <w:pPr>
        <w:pStyle w:val="139"/>
        <w:numPr>
          <w:ilvl w:val="1"/>
          <w:numId w:val="18"/>
        </w:numPr>
        <w:snapToGrid w:val="0"/>
        <w:jc w:val="both"/>
        <w:rPr>
          <w:rFonts w:ascii="Times" w:hAnsi="Times" w:eastAsia="Malgun Gothic" w:cs="Times"/>
          <w:bCs/>
          <w:sz w:val="20"/>
          <w:szCs w:val="15"/>
          <w:lang w:val="en-GB"/>
        </w:rPr>
      </w:pPr>
      <w:r>
        <w:rPr>
          <w:rFonts w:ascii="Times" w:hAnsi="Times" w:eastAsia="Malgun Gothic" w:cs="Times"/>
          <w:bCs/>
          <w:sz w:val="20"/>
          <w:szCs w:val="15"/>
          <w:lang w:val="en-GB"/>
        </w:rPr>
        <w:t xml:space="preserve">If a single DCI indicates transmission of </w:t>
      </w:r>
      <w:r>
        <w:rPr>
          <w:rFonts w:ascii="Times" w:hAnsi="Times" w:cs="Times"/>
          <w:bCs/>
          <w:sz w:val="20"/>
          <w:szCs w:val="15"/>
          <w:lang w:eastAsia="zh-CN"/>
        </w:rPr>
        <w:t xml:space="preserve">an aperiodic </w:t>
      </w:r>
      <w:r>
        <w:rPr>
          <w:rFonts w:ascii="Times" w:hAnsi="Times" w:eastAsia="Malgun Gothic" w:cs="Times"/>
          <w:bCs/>
          <w:sz w:val="20"/>
          <w:szCs w:val="15"/>
          <w:lang w:val="en-GB"/>
        </w:rPr>
        <w:t>positioning SRS resource</w:t>
      </w:r>
      <w:r>
        <w:rPr>
          <w:rFonts w:ascii="Times" w:hAnsi="Times" w:cs="Times"/>
          <w:bCs/>
          <w:sz w:val="20"/>
          <w:szCs w:val="15"/>
          <w:lang w:eastAsia="zh-CN"/>
        </w:rPr>
        <w:t xml:space="preserve"> set,</w:t>
      </w:r>
      <w:r>
        <w:rPr>
          <w:rFonts w:ascii="Times" w:hAnsi="Times" w:eastAsia="Malgun Gothic" w:cs="Times"/>
          <w:bCs/>
          <w:sz w:val="20"/>
          <w:szCs w:val="15"/>
          <w:lang w:val="en-GB"/>
        </w:rPr>
        <w:t xml:space="preserve"> UE transmit</w:t>
      </w:r>
      <w:r>
        <w:rPr>
          <w:rFonts w:ascii="Times" w:hAnsi="Times" w:cs="Times"/>
          <w:bCs/>
          <w:sz w:val="20"/>
          <w:szCs w:val="15"/>
          <w:lang w:eastAsia="zh-CN"/>
        </w:rPr>
        <w:t>s</w:t>
      </w:r>
      <w:r>
        <w:rPr>
          <w:rFonts w:ascii="Times" w:hAnsi="Times" w:eastAsia="Malgun Gothic" w:cs="Times"/>
          <w:bCs/>
          <w:sz w:val="20"/>
          <w:szCs w:val="15"/>
          <w:lang w:val="en-GB"/>
        </w:rPr>
        <w:t xml:space="preserve"> aperiodic positioning SRS resource</w:t>
      </w:r>
      <w:r>
        <w:rPr>
          <w:rFonts w:ascii="Times" w:hAnsi="Times" w:cs="Times"/>
          <w:bCs/>
          <w:sz w:val="20"/>
          <w:szCs w:val="15"/>
          <w:lang w:eastAsia="zh-CN"/>
        </w:rPr>
        <w:t xml:space="preserve"> sets</w:t>
      </w:r>
      <w:r>
        <w:rPr>
          <w:rFonts w:ascii="Times" w:hAnsi="Times" w:eastAsia="Malgun Gothic" w:cs="Times"/>
          <w:bCs/>
          <w:sz w:val="20"/>
          <w:szCs w:val="15"/>
          <w:lang w:val="en-GB"/>
        </w:rPr>
        <w:t xml:space="preserve"> across </w:t>
      </w:r>
      <w:r>
        <w:rPr>
          <w:rFonts w:ascii="Times" w:hAnsi="Times" w:cs="Times"/>
          <w:bCs/>
          <w:sz w:val="20"/>
          <w:szCs w:val="15"/>
          <w:lang w:eastAsia="zh-CN"/>
        </w:rPr>
        <w:t xml:space="preserve">all </w:t>
      </w:r>
      <w:r>
        <w:rPr>
          <w:rFonts w:ascii="Times" w:hAnsi="Times" w:eastAsia="Malgun Gothic" w:cs="Times"/>
          <w:bCs/>
          <w:sz w:val="20"/>
          <w:szCs w:val="15"/>
          <w:lang w:val="en-GB"/>
        </w:rPr>
        <w:t>linked carriers for bandwidth aggregation.</w:t>
      </w:r>
    </w:p>
    <w:p>
      <w:pPr>
        <w:pStyle w:val="139"/>
        <w:numPr>
          <w:ilvl w:val="0"/>
          <w:numId w:val="18"/>
        </w:numPr>
        <w:snapToGrid w:val="0"/>
        <w:jc w:val="both"/>
        <w:rPr>
          <w:rFonts w:ascii="Times" w:hAnsi="Times" w:cs="Times"/>
          <w:sz w:val="20"/>
          <w:highlight w:val="yellow"/>
        </w:rPr>
      </w:pPr>
      <w:r>
        <w:rPr>
          <w:rFonts w:ascii="Times" w:hAnsi="Times" w:cs="Times"/>
          <w:sz w:val="20"/>
          <w:highlight w:val="yellow"/>
          <w:lang w:eastAsia="zh-CN"/>
        </w:rPr>
        <w:t>Option 2: Support to use a DCI format 0_3 or 1_3 for multi-cell PDSCH/PUSCH scheduling to trigger SRS resources for bandwidth aggregation in multiple CCs</w:t>
      </w:r>
    </w:p>
    <w:p>
      <w:pPr>
        <w:snapToGrid w:val="0"/>
        <w:rPr>
          <w:sz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We would like to confirm majority there are any specification impact of supporting option 2, if not, we think it is straightforward to support it. But, considering the option 2 may depend on the UE feature of supporting communication CA, option 1 also can be supported for positioning SRS for bandwidth aggregation only case.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OPPO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We are ok to support both Option 2 and Option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 xml:space="preserve">We prefer Option 2 which has very small (if any) specification impact.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Spreadtrum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Cpmpare with Option 2, we prefer Option 1. But for Option 1, when one AP SRS resource set for positioning is triggered by the DCI, all linked SRS resource set for positioning is also triggered by this DCI.</w:t>
            </w:r>
            <w:r>
              <w:rPr>
                <w:rFonts w:hint="eastAsia"/>
              </w:rPr>
              <w:t xml:space="preserve"> </w:t>
            </w:r>
            <w:r>
              <w:rPr>
                <w:rFonts w:hint="eastAsia" w:eastAsiaTheme="minorEastAsia"/>
                <w:iCs/>
                <w:sz w:val="18"/>
                <w:szCs w:val="18"/>
                <w:lang w:val="en-GB"/>
              </w:rPr>
              <w:t>It is not flexible for network.</w:t>
            </w:r>
            <w:r>
              <w:rPr>
                <w:rFonts w:hint="eastAsia"/>
              </w:rPr>
              <w:t xml:space="preserve"> One way is that </w:t>
            </w:r>
            <w:r>
              <w:rPr>
                <w:rFonts w:hint="eastAsia" w:eastAsiaTheme="minorEastAsia"/>
                <w:iCs/>
                <w:sz w:val="18"/>
                <w:szCs w:val="18"/>
                <w:lang w:val="en-GB"/>
              </w:rPr>
              <w:t xml:space="preserve">network can configure which SRS resource sets support triggering their linked SRS resource sets for positioning simultaneously when it triggered by DCI. </w:t>
            </w:r>
          </w:p>
          <w:p>
            <w:pPr>
              <w:snapToGrid w:val="0"/>
              <w:rPr>
                <w:rFonts w:eastAsiaTheme="minorEastAsia"/>
                <w:iCs/>
                <w:sz w:val="18"/>
                <w:szCs w:val="18"/>
                <w:lang w:val="en-GB"/>
              </w:rPr>
            </w:pPr>
            <w:r>
              <w:rPr>
                <w:rFonts w:hint="eastAsia" w:eastAsiaTheme="minorEastAsia"/>
                <w:iCs/>
                <w:sz w:val="18"/>
                <w:szCs w:val="18"/>
                <w:lang w:val="en-GB"/>
              </w:rPr>
              <w:t>For example, SRS resource set A is configured to support triggering its linked SRS resource sets simultaneously, SRS resource set B is configured to not support triggering its linked SRS resource sets simultaneously, and SRS resource set A and SRS resource set B are configured as two linked SRS resource sets. If DCI triggers SRS resource set A, it means that SRS resource set A and its linked SRS resource set B are triggered simultaneously. If DCI triggers SRS resource set B, it means that only SRS resource set B is triggered.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Both are OK for us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Theme="minorEastAsia"/>
                <w:iCs/>
                <w:sz w:val="18"/>
                <w:szCs w:val="18"/>
              </w:rPr>
              <w:t>Huawei,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We prefer Option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S Mincho"/>
                <w:iCs/>
                <w:sz w:val="18"/>
                <w:szCs w:val="18"/>
                <w:lang w:eastAsia="ja-JP"/>
              </w:rPr>
            </w:pPr>
            <w:r>
              <w:rPr>
                <w:rFonts w:hint="eastAsia" w:eastAsia="MS Mincho"/>
                <w:iCs/>
                <w:sz w:val="18"/>
                <w:szCs w:val="18"/>
                <w:lang w:eastAsia="ja-JP"/>
              </w:rPr>
              <w:t>NTT DOCOMO</w:t>
            </w:r>
          </w:p>
        </w:tc>
        <w:tc>
          <w:tcPr>
            <w:tcW w:w="7508" w:type="dxa"/>
            <w:vAlign w:val="center"/>
          </w:tcPr>
          <w:p>
            <w:pPr>
              <w:snapToGrid w:val="0"/>
              <w:rPr>
                <w:rFonts w:eastAsia="MS Mincho"/>
                <w:iCs/>
                <w:sz w:val="18"/>
                <w:szCs w:val="18"/>
                <w:lang w:val="en-GB" w:eastAsia="ja-JP"/>
              </w:rPr>
            </w:pPr>
            <w:r>
              <w:rPr>
                <w:rFonts w:hint="eastAsia" w:eastAsia="MS Mincho"/>
                <w:iCs/>
                <w:sz w:val="18"/>
                <w:szCs w:val="18"/>
                <w:lang w:val="en-GB" w:eastAsia="ja-JP"/>
              </w:rPr>
              <w:t>We prefer 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Malgun Gothic"/>
                <w:iCs/>
                <w:sz w:val="18"/>
                <w:szCs w:val="18"/>
                <w:lang w:eastAsia="ko-KR"/>
              </w:rPr>
              <w:t>LGE</w:t>
            </w:r>
          </w:p>
        </w:tc>
        <w:tc>
          <w:tcPr>
            <w:tcW w:w="7508" w:type="dxa"/>
          </w:tcPr>
          <w:p>
            <w:pPr>
              <w:snapToGrid w:val="0"/>
              <w:rPr>
                <w:rFonts w:eastAsiaTheme="minorEastAsia"/>
                <w:iCs/>
                <w:sz w:val="18"/>
                <w:szCs w:val="18"/>
                <w:lang w:val="en-GB"/>
              </w:rPr>
            </w:pPr>
            <w:r>
              <w:rPr>
                <w:rFonts w:hint="eastAsia" w:eastAsia="Malgun Gothic"/>
                <w:iCs/>
                <w:sz w:val="18"/>
                <w:szCs w:val="18"/>
                <w:lang w:val="en-GB" w:eastAsia="ko-KR"/>
              </w:rPr>
              <w:t>Support option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r>
              <w:rPr>
                <w:rFonts w:hint="eastAsia" w:eastAsia="Malgun Gothic"/>
                <w:iCs/>
                <w:sz w:val="18"/>
                <w:szCs w:val="18"/>
                <w:lang w:eastAsia="ko-KR"/>
              </w:rPr>
              <w:t>Ericsson</w:t>
            </w:r>
          </w:p>
        </w:tc>
        <w:tc>
          <w:tcPr>
            <w:tcW w:w="7508" w:type="dxa"/>
          </w:tcPr>
          <w:p>
            <w:pPr>
              <w:snapToGrid w:val="0"/>
              <w:rPr>
                <w:rFonts w:eastAsia="Malgun Gothic"/>
                <w:iCs/>
                <w:sz w:val="18"/>
                <w:szCs w:val="18"/>
                <w:lang w:val="en-GB" w:eastAsia="ko-KR"/>
              </w:rPr>
            </w:pPr>
            <w:r>
              <w:rPr>
                <w:rFonts w:hint="eastAsia" w:eastAsia="Malgun Gothic"/>
                <w:iCs/>
                <w:sz w:val="18"/>
                <w:szCs w:val="18"/>
                <w:lang w:val="en-GB" w:eastAsia="ko-KR"/>
              </w:rPr>
              <w:t>Prefer Option 1.</w:t>
            </w:r>
          </w:p>
        </w:tc>
      </w:tr>
    </w:tbl>
    <w:p>
      <w:pPr>
        <w:snapToGrid w:val="0"/>
        <w:rPr>
          <w:sz w:val="20"/>
        </w:rPr>
      </w:pPr>
    </w:p>
    <w:p>
      <w:pPr>
        <w:pStyle w:val="40"/>
        <w:keepLines w:val="0"/>
        <w:numPr>
          <w:ilvl w:val="0"/>
          <w:numId w:val="0"/>
        </w:numPr>
        <w:snapToGrid w:val="0"/>
        <w:spacing w:before="180" w:after="180" w:line="240" w:lineRule="auto"/>
        <w:jc w:val="both"/>
        <w:rPr>
          <w:rFonts w:ascii="Arial" w:hAnsi="Arial" w:eastAsia="宋体" w:cs="Arial"/>
          <w:sz w:val="22"/>
          <w:szCs w:val="22"/>
        </w:rPr>
      </w:pPr>
      <w:r>
        <w:rPr>
          <w:rFonts w:hint="eastAsia" w:ascii="Arial" w:hAnsi="Arial" w:eastAsia="宋体" w:cs="Arial"/>
          <w:sz w:val="22"/>
          <w:szCs w:val="22"/>
        </w:rPr>
        <w:t xml:space="preserve">Offline </w:t>
      </w:r>
    </w:p>
    <w:p>
      <w:pPr>
        <w:snapToGrid w:val="0"/>
        <w:jc w:val="both"/>
        <w:rPr>
          <w:rFonts w:ascii="Times" w:hAnsi="Times" w:eastAsia="宋体" w:cs="Times"/>
          <w:sz w:val="20"/>
          <w:szCs w:val="20"/>
        </w:rPr>
      </w:pPr>
      <w:r>
        <w:rPr>
          <w:rFonts w:hint="eastAsia" w:ascii="Times" w:hAnsi="Times" w:eastAsia="宋体" w:cs="Times"/>
          <w:sz w:val="20"/>
          <w:szCs w:val="20"/>
        </w:rPr>
        <w:t xml:space="preserve">After the offline discussion, we have offline consensus to support Option 2. For option 1, a few companies may still have slight concern. </w:t>
      </w:r>
    </w:p>
    <w:p>
      <w:pPr>
        <w:snapToGrid w:val="0"/>
        <w:rPr>
          <w:rFonts w:eastAsia="宋体"/>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ascii="Times" w:hAnsi="Times" w:eastAsia="宋体" w:cs="Times"/>
          <w:b/>
          <w:bCs/>
          <w:sz w:val="20"/>
          <w:szCs w:val="20"/>
        </w:rPr>
        <w:t>8</w:t>
      </w:r>
      <w:r>
        <w:rPr>
          <w:rFonts w:ascii="Times" w:hAnsi="Times" w:cs="Times"/>
          <w:b/>
          <w:bCs/>
          <w:sz w:val="20"/>
          <w:szCs w:val="20"/>
        </w:rPr>
        <w:t>-</w:t>
      </w:r>
      <w:r>
        <w:rPr>
          <w:rFonts w:hint="eastAsia" w:ascii="Times" w:hAnsi="Times" w:eastAsia="宋体" w:cs="Times"/>
          <w:b/>
          <w:bCs/>
          <w:sz w:val="20"/>
          <w:szCs w:val="20"/>
        </w:rPr>
        <w:t>2</w:t>
      </w:r>
      <w:r>
        <w:rPr>
          <w:rFonts w:ascii="Times" w:hAnsi="Times" w:eastAsia="宋体" w:cs="Times"/>
          <w:b/>
          <w:bCs/>
          <w:sz w:val="20"/>
          <w:szCs w:val="20"/>
        </w:rPr>
        <w:t xml:space="preserve"> </w:t>
      </w:r>
    </w:p>
    <w:p>
      <w:pPr>
        <w:snapToGrid w:val="0"/>
        <w:jc w:val="both"/>
        <w:rPr>
          <w:rFonts w:ascii="Times" w:hAnsi="Times" w:eastAsia="宋体" w:cs="Times"/>
          <w:sz w:val="20"/>
          <w:szCs w:val="20"/>
        </w:rPr>
      </w:pPr>
      <w:r>
        <w:rPr>
          <w:rFonts w:ascii="Times" w:hAnsi="Times" w:eastAsia="宋体" w:cs="Times"/>
          <w:sz w:val="20"/>
          <w:szCs w:val="20"/>
        </w:rPr>
        <w:t xml:space="preserve">With regard to </w:t>
      </w:r>
      <w:r>
        <w:rPr>
          <w:rFonts w:ascii="Times" w:hAnsi="Times" w:cs="Times"/>
          <w:sz w:val="20"/>
          <w:szCs w:val="20"/>
        </w:rPr>
        <w:t>aperiodic positioning SRS for bandwidth aggregation for UEs in RRC_CONNECTED state</w:t>
      </w:r>
      <w:r>
        <w:rPr>
          <w:rFonts w:ascii="Times" w:hAnsi="Times" w:eastAsia="宋体" w:cs="Times"/>
          <w:sz w:val="20"/>
          <w:szCs w:val="20"/>
        </w:rPr>
        <w:t xml:space="preserve">, support </w:t>
      </w:r>
      <w:r>
        <w:rPr>
          <w:rFonts w:hint="eastAsia" w:ascii="Times" w:hAnsi="Times" w:eastAsia="宋体" w:cs="Times"/>
          <w:sz w:val="20"/>
          <w:szCs w:val="20"/>
        </w:rPr>
        <w:t>the following Option 2, and further study Option1.</w:t>
      </w:r>
    </w:p>
    <w:p>
      <w:pPr>
        <w:pStyle w:val="139"/>
        <w:numPr>
          <w:ilvl w:val="0"/>
          <w:numId w:val="18"/>
        </w:numPr>
        <w:snapToGrid w:val="0"/>
        <w:jc w:val="both"/>
        <w:rPr>
          <w:rFonts w:ascii="Times" w:hAnsi="Times" w:eastAsia="Malgun Gothic" w:cs="Times"/>
          <w:bCs/>
          <w:sz w:val="20"/>
          <w:szCs w:val="15"/>
          <w:lang w:val="en-GB"/>
        </w:rPr>
      </w:pPr>
      <w:r>
        <w:rPr>
          <w:rFonts w:ascii="Times" w:hAnsi="Times" w:cs="Times"/>
          <w:sz w:val="20"/>
          <w:lang w:eastAsia="zh-CN"/>
        </w:rPr>
        <w:t>Option 1: Support a Rel-17</w:t>
      </w:r>
      <w:r>
        <w:rPr>
          <w:rFonts w:ascii="Times" w:hAnsi="Times" w:cs="Times"/>
          <w:sz w:val="20"/>
          <w:lang w:val="en-GB" w:eastAsia="zh-CN"/>
        </w:rPr>
        <w:t xml:space="preserve"> single DCI scheduling positioning SRS</w:t>
      </w:r>
      <w:r>
        <w:rPr>
          <w:rFonts w:ascii="Times" w:hAnsi="Times" w:cs="Times"/>
          <w:sz w:val="20"/>
          <w:lang w:eastAsia="zh-CN"/>
        </w:rPr>
        <w:t xml:space="preserve"> resource sets</w:t>
      </w:r>
      <w:r>
        <w:rPr>
          <w:rFonts w:ascii="Times" w:hAnsi="Times" w:cs="Times"/>
          <w:sz w:val="20"/>
          <w:lang w:val="en-GB" w:eastAsia="zh-CN"/>
        </w:rPr>
        <w:t xml:space="preserve"> across the linked carriers.</w:t>
      </w:r>
    </w:p>
    <w:p>
      <w:pPr>
        <w:pStyle w:val="139"/>
        <w:numPr>
          <w:ilvl w:val="1"/>
          <w:numId w:val="18"/>
        </w:numPr>
        <w:snapToGrid w:val="0"/>
        <w:jc w:val="both"/>
        <w:rPr>
          <w:rFonts w:ascii="Times" w:hAnsi="Times" w:eastAsia="Malgun Gothic" w:cs="Times"/>
          <w:bCs/>
          <w:sz w:val="20"/>
          <w:szCs w:val="15"/>
          <w:lang w:val="en-GB"/>
        </w:rPr>
      </w:pPr>
      <w:r>
        <w:rPr>
          <w:rFonts w:ascii="Times" w:hAnsi="Times" w:eastAsia="Malgun Gothic" w:cs="Times"/>
          <w:bCs/>
          <w:sz w:val="20"/>
          <w:szCs w:val="15"/>
          <w:lang w:val="en-GB"/>
        </w:rPr>
        <w:t xml:space="preserve">Reuse Rel-17 DCI framework without modification. </w:t>
      </w:r>
    </w:p>
    <w:p>
      <w:pPr>
        <w:pStyle w:val="139"/>
        <w:numPr>
          <w:ilvl w:val="1"/>
          <w:numId w:val="18"/>
        </w:numPr>
        <w:snapToGrid w:val="0"/>
        <w:jc w:val="both"/>
        <w:rPr>
          <w:rFonts w:ascii="Times" w:hAnsi="Times" w:eastAsia="Malgun Gothic" w:cs="Times"/>
          <w:bCs/>
          <w:sz w:val="20"/>
          <w:szCs w:val="15"/>
          <w:lang w:val="en-GB"/>
        </w:rPr>
      </w:pPr>
      <w:r>
        <w:rPr>
          <w:rFonts w:ascii="Times" w:hAnsi="Times" w:eastAsia="Malgun Gothic" w:cs="Times"/>
          <w:bCs/>
          <w:sz w:val="20"/>
          <w:szCs w:val="15"/>
          <w:lang w:val="en-GB"/>
        </w:rPr>
        <w:t xml:space="preserve">If a single DCI indicates transmission of </w:t>
      </w:r>
      <w:r>
        <w:rPr>
          <w:rFonts w:ascii="Times" w:hAnsi="Times" w:cs="Times"/>
          <w:bCs/>
          <w:sz w:val="20"/>
          <w:szCs w:val="15"/>
          <w:lang w:eastAsia="zh-CN"/>
        </w:rPr>
        <w:t xml:space="preserve">an aperiodic </w:t>
      </w:r>
      <w:r>
        <w:rPr>
          <w:rFonts w:ascii="Times" w:hAnsi="Times" w:eastAsia="Malgun Gothic" w:cs="Times"/>
          <w:bCs/>
          <w:sz w:val="20"/>
          <w:szCs w:val="15"/>
          <w:lang w:val="en-GB"/>
        </w:rPr>
        <w:t>positioning SRS resource</w:t>
      </w:r>
      <w:r>
        <w:rPr>
          <w:rFonts w:ascii="Times" w:hAnsi="Times" w:cs="Times"/>
          <w:bCs/>
          <w:sz w:val="20"/>
          <w:szCs w:val="15"/>
          <w:lang w:eastAsia="zh-CN"/>
        </w:rPr>
        <w:t xml:space="preserve"> set,</w:t>
      </w:r>
      <w:r>
        <w:rPr>
          <w:rFonts w:ascii="Times" w:hAnsi="Times" w:eastAsia="Malgun Gothic" w:cs="Times"/>
          <w:bCs/>
          <w:sz w:val="20"/>
          <w:szCs w:val="15"/>
          <w:lang w:val="en-GB"/>
        </w:rPr>
        <w:t xml:space="preserve"> UE transmit</w:t>
      </w:r>
      <w:r>
        <w:rPr>
          <w:rFonts w:ascii="Times" w:hAnsi="Times" w:cs="Times"/>
          <w:bCs/>
          <w:sz w:val="20"/>
          <w:szCs w:val="15"/>
          <w:lang w:eastAsia="zh-CN"/>
        </w:rPr>
        <w:t>s</w:t>
      </w:r>
      <w:r>
        <w:rPr>
          <w:rFonts w:ascii="Times" w:hAnsi="Times" w:eastAsia="Malgun Gothic" w:cs="Times"/>
          <w:bCs/>
          <w:sz w:val="20"/>
          <w:szCs w:val="15"/>
          <w:lang w:val="en-GB"/>
        </w:rPr>
        <w:t xml:space="preserve"> aperiodic positioning SRS resource</w:t>
      </w:r>
      <w:r>
        <w:rPr>
          <w:rFonts w:ascii="Times" w:hAnsi="Times" w:cs="Times"/>
          <w:bCs/>
          <w:sz w:val="20"/>
          <w:szCs w:val="15"/>
          <w:lang w:eastAsia="zh-CN"/>
        </w:rPr>
        <w:t xml:space="preserve"> sets</w:t>
      </w:r>
      <w:r>
        <w:rPr>
          <w:rFonts w:ascii="Times" w:hAnsi="Times" w:eastAsia="Malgun Gothic" w:cs="Times"/>
          <w:bCs/>
          <w:sz w:val="20"/>
          <w:szCs w:val="15"/>
          <w:lang w:val="en-GB"/>
        </w:rPr>
        <w:t xml:space="preserve"> across </w:t>
      </w:r>
      <w:r>
        <w:rPr>
          <w:rFonts w:ascii="Times" w:hAnsi="Times" w:cs="Times"/>
          <w:bCs/>
          <w:sz w:val="20"/>
          <w:szCs w:val="15"/>
          <w:lang w:eastAsia="zh-CN"/>
        </w:rPr>
        <w:t xml:space="preserve">all </w:t>
      </w:r>
      <w:r>
        <w:rPr>
          <w:rFonts w:ascii="Times" w:hAnsi="Times" w:eastAsia="Malgun Gothic" w:cs="Times"/>
          <w:bCs/>
          <w:sz w:val="20"/>
          <w:szCs w:val="15"/>
          <w:lang w:val="en-GB"/>
        </w:rPr>
        <w:t>linked carriers for bandwidth aggregation.</w:t>
      </w:r>
    </w:p>
    <w:p>
      <w:pPr>
        <w:pStyle w:val="139"/>
        <w:numPr>
          <w:ilvl w:val="0"/>
          <w:numId w:val="18"/>
        </w:numPr>
        <w:snapToGrid w:val="0"/>
        <w:jc w:val="both"/>
        <w:rPr>
          <w:rFonts w:ascii="Times" w:hAnsi="Times" w:cs="Times"/>
          <w:sz w:val="20"/>
        </w:rPr>
      </w:pPr>
      <w:r>
        <w:rPr>
          <w:rFonts w:ascii="Times" w:hAnsi="Times" w:cs="Times"/>
          <w:sz w:val="20"/>
          <w:lang w:eastAsia="zh-CN"/>
        </w:rPr>
        <w:t>Option 2: Support to use a DCI format 0_3 or 1_3 for multi-cell PDSCH/PUSCH scheduling to trigger SRS resources for bandwidth aggregation in multiple CCs</w:t>
      </w:r>
      <w:r>
        <w:rPr>
          <w:rFonts w:hint="eastAsia" w:ascii="Times" w:hAnsi="Times" w:cs="Times"/>
          <w:sz w:val="20"/>
          <w:lang w:eastAsia="zh-CN"/>
        </w:rPr>
        <w:t>.</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bl>
    <w:p>
      <w:pPr>
        <w:snapToGrid w:val="0"/>
        <w:rPr>
          <w:rFonts w:eastAsia="宋体"/>
        </w:rPr>
      </w:pPr>
    </w:p>
    <w:p>
      <w:pPr>
        <w:snapToGrid w:val="0"/>
        <w:rPr>
          <w:rFonts w:eastAsia="宋体"/>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Power reduction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rFonts w:hint="eastAsia"/>
                <w:sz w:val="20"/>
                <w:szCs w:val="20"/>
                <w:lang w:val="en-GB"/>
              </w:rPr>
              <w:t>Nokia</w:t>
            </w:r>
          </w:p>
        </w:tc>
        <w:tc>
          <w:tcPr>
            <w:tcW w:w="8221" w:type="dxa"/>
          </w:tcPr>
          <w:p>
            <w:pPr>
              <w:rPr>
                <w:sz w:val="20"/>
                <w:szCs w:val="20"/>
              </w:rPr>
            </w:pPr>
            <w:r>
              <w:rPr>
                <w:rFonts w:hint="eastAsia"/>
                <w:sz w:val="20"/>
                <w:szCs w:val="20"/>
              </w:rPr>
              <w:t>Proposal 8: RAN1 supports UE to select a part of configured CCs for SRS bandwidth aggregation when the total uplink transmission power in a transmission occasion exceeds the UE maximum power.</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rFonts w:hint="eastAsia"/>
                <w:sz w:val="20"/>
                <w:szCs w:val="20"/>
                <w:lang w:val="en-GB"/>
              </w:rPr>
              <w:t>Huawei</w:t>
            </w:r>
          </w:p>
        </w:tc>
        <w:tc>
          <w:tcPr>
            <w:tcW w:w="8221" w:type="dxa"/>
          </w:tcPr>
          <w:p>
            <w:pPr>
              <w:rPr>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11</w:t>
            </w:r>
            <w:r>
              <w:rPr>
                <w:rFonts w:hint="eastAsia"/>
                <w:sz w:val="20"/>
                <w:szCs w:val="20"/>
              </w:rPr>
              <w:fldChar w:fldCharType="end"/>
            </w:r>
            <w:r>
              <w:rPr>
                <w:rFonts w:hint="eastAsia"/>
                <w:sz w:val="20"/>
                <w:szCs w:val="20"/>
              </w:rPr>
              <w:t>: For SRS for positioning transmission in multiple carriers, the power allocation for each carrier can be scaled based on the remaining power.</w:t>
            </w:r>
          </w:p>
          <w:p>
            <w:pPr>
              <w:ind w:left="400" w:hanging="400" w:hangingChars="200"/>
              <w:rPr>
                <w:sz w:val="20"/>
                <w:szCs w:val="20"/>
              </w:rPr>
            </w:pPr>
            <w:r>
              <w:rPr>
                <w:rFonts w:hint="eastAsia"/>
                <w:sz w:val="20"/>
                <w:szCs w:val="20"/>
              </w:rPr>
              <w:t>•</w:t>
            </w:r>
            <w:r>
              <w:rPr>
                <w:rFonts w:hint="eastAsia"/>
                <w:sz w:val="20"/>
                <w:szCs w:val="20"/>
              </w:rPr>
              <w:tab/>
            </w:r>
            <w:r>
              <w:rPr>
                <w:rFonts w:hint="eastAsia"/>
                <w:sz w:val="20"/>
                <w:szCs w:val="20"/>
              </w:rPr>
              <w:t>The scaling factor is represented as the proportion of the transmission power on one carrier over the total SRS transmission power across multiple carriers, where the transmission power on one carrier is calculated based on the legacy per CC power control mechanism.</w:t>
            </w:r>
          </w:p>
          <w:p>
            <w:pPr>
              <w:ind w:left="400" w:hanging="400" w:hangingChars="200"/>
              <w:rPr>
                <w:sz w:val="20"/>
                <w:szCs w:val="20"/>
              </w:rPr>
            </w:pPr>
            <w:r>
              <w:rPr>
                <w:rFonts w:hint="eastAsia"/>
                <w:sz w:val="20"/>
                <w:szCs w:val="20"/>
              </w:rPr>
              <w:t>•</w:t>
            </w:r>
            <w:r>
              <w:rPr>
                <w:rFonts w:hint="eastAsia"/>
                <w:sz w:val="20"/>
                <w:szCs w:val="20"/>
              </w:rPr>
              <w:tab/>
            </w:r>
            <w:r>
              <w:rPr>
                <w:rFonts w:hint="eastAsia"/>
                <w:sz w:val="20"/>
                <w:szCs w:val="20"/>
              </w:rPr>
              <w:t>The remaining power is the remaining amount after allocating the transmission power for other channels or signals whose priorities are higher than SRS.</w:t>
            </w:r>
          </w:p>
          <w:p>
            <w:pPr>
              <w:rPr>
                <w:sz w:val="20"/>
                <w:szCs w:val="20"/>
              </w:rPr>
            </w:pPr>
          </w:p>
          <w:p>
            <w:pPr>
              <w:rPr>
                <w:sz w:val="20"/>
                <w:szCs w:val="20"/>
              </w:rPr>
            </w:pPr>
            <w:r>
              <w:rPr>
                <w:rFonts w:hint="eastAsia"/>
                <w:sz w:val="20"/>
                <w:szCs w:val="20"/>
              </w:rPr>
              <w:t xml:space="preserve">Proposal </w:t>
            </w:r>
            <w:r>
              <w:rPr>
                <w:rFonts w:hint="eastAsia"/>
                <w:sz w:val="20"/>
                <w:szCs w:val="20"/>
              </w:rPr>
              <w:fldChar w:fldCharType="begin"/>
            </w:r>
            <w:r>
              <w:rPr>
                <w:rFonts w:hint="eastAsia"/>
                <w:sz w:val="20"/>
                <w:szCs w:val="20"/>
              </w:rPr>
              <w:instrText xml:space="preserve"> SEQ Proposal \* ARABIC  \* MERGEFORMAT </w:instrText>
            </w:r>
            <w:r>
              <w:rPr>
                <w:rFonts w:hint="eastAsia"/>
                <w:sz w:val="20"/>
                <w:szCs w:val="20"/>
              </w:rPr>
              <w:fldChar w:fldCharType="separate"/>
            </w:r>
            <w:r>
              <w:rPr>
                <w:rFonts w:hint="eastAsia"/>
                <w:sz w:val="20"/>
                <w:szCs w:val="20"/>
              </w:rPr>
              <w:t>12</w:t>
            </w:r>
            <w:r>
              <w:rPr>
                <w:rFonts w:hint="eastAsia"/>
                <w:sz w:val="20"/>
                <w:szCs w:val="20"/>
              </w:rPr>
              <w:fldChar w:fldCharType="end"/>
            </w:r>
            <w:r>
              <w:rPr>
                <w:rFonts w:hint="eastAsia"/>
                <w:sz w:val="20"/>
                <w:szCs w:val="20"/>
              </w:rPr>
              <w:t>: For both RRC_INACTIVE and RRC_CONNECTED states, the transmission linear power of each carrier among the aggregated carriers for SRS should be determined according to</w:t>
            </w:r>
          </w:p>
          <w:p>
            <w:pPr>
              <w:pStyle w:val="187"/>
              <w:ind w:left="900"/>
              <w:rPr>
                <w:i w:val="0"/>
                <w:color w:val="auto"/>
                <w:sz w:val="20"/>
              </w:rPr>
            </w:pPr>
            <m:oMathPara>
              <m:oMath>
                <m:sSub>
                  <m:sSubPr>
                    <m:ctrlPr>
                      <w:rPr>
                        <w:rFonts w:hint="eastAsia" w:ascii="Cambria Math" w:hAnsi="Cambria Math"/>
                        <w:i w:val="0"/>
                        <w:color w:val="auto"/>
                        <w:sz w:val="20"/>
                      </w:rPr>
                    </m:ctrlPr>
                  </m:sSubPr>
                  <m:e>
                    <m:sSup>
                      <m:sSupPr>
                        <m:ctrlPr>
                          <w:rPr>
                            <w:rFonts w:hint="eastAsia" w:ascii="Cambria Math" w:hAnsi="Cambria Math"/>
                            <w:i w:val="0"/>
                            <w:color w:val="auto"/>
                            <w:sz w:val="20"/>
                          </w:rPr>
                        </m:ctrlPr>
                      </m:sSupPr>
                      <m:e>
                        <m:r>
                          <m:rPr/>
                          <w:rPr>
                            <w:rFonts w:hint="eastAsia" w:ascii="Cambria Math" w:hAnsi="Cambria Math"/>
                            <w:color w:val="auto"/>
                            <w:sz w:val="20"/>
                          </w:rPr>
                          <m:t>P</m:t>
                        </m:r>
                        <m:ctrlPr>
                          <w:rPr>
                            <w:rFonts w:hint="eastAsia" w:ascii="Cambria Math" w:hAnsi="Cambria Math"/>
                            <w:i w:val="0"/>
                            <w:color w:val="auto"/>
                            <w:sz w:val="20"/>
                          </w:rPr>
                        </m:ctrlPr>
                      </m:e>
                      <m:sup>
                        <m:r>
                          <m:rPr/>
                          <w:rPr>
                            <w:rFonts w:hint="eastAsia" w:ascii="Cambria Math" w:hAnsi="Cambria Math"/>
                            <w:color w:val="auto"/>
                            <w:sz w:val="20"/>
                          </w:rPr>
                          <m:t>'</m:t>
                        </m:r>
                        <m:ctrlPr>
                          <w:rPr>
                            <w:rFonts w:hint="eastAsia" w:ascii="Cambria Math" w:hAnsi="Cambria Math"/>
                            <w:i w:val="0"/>
                            <w:color w:val="auto"/>
                            <w:sz w:val="20"/>
                          </w:rPr>
                        </m:ctrlPr>
                      </m:sup>
                    </m:sSup>
                    <m:ctrlPr>
                      <w:rPr>
                        <w:rFonts w:hint="eastAsia" w:ascii="Cambria Math" w:hAnsi="Cambria Math"/>
                        <w:i w:val="0"/>
                        <w:color w:val="auto"/>
                        <w:sz w:val="20"/>
                      </w:rPr>
                    </m:ctrlPr>
                  </m:e>
                  <m:sub>
                    <m:r>
                      <m:rPr/>
                      <w:rPr>
                        <w:rFonts w:hint="eastAsia" w:ascii="Cambria Math" w:hAnsi="Cambria Math"/>
                        <w:color w:val="auto"/>
                        <w:sz w:val="20"/>
                      </w:rPr>
                      <m:t>SRS,b,f,c</m:t>
                    </m:r>
                    <m:ctrlPr>
                      <w:rPr>
                        <w:rFonts w:hint="eastAsia" w:ascii="Cambria Math" w:hAnsi="Cambria Math"/>
                        <w:i w:val="0"/>
                        <w:color w:val="auto"/>
                        <w:sz w:val="20"/>
                      </w:rPr>
                    </m:ctrlPr>
                  </m:sub>
                </m:sSub>
                <m:d>
                  <m:dPr>
                    <m:ctrlPr>
                      <w:rPr>
                        <w:rFonts w:hint="eastAsia" w:ascii="Cambria Math" w:hAnsi="Cambria Math"/>
                        <w:i w:val="0"/>
                        <w:color w:val="auto"/>
                        <w:sz w:val="20"/>
                      </w:rPr>
                    </m:ctrlPr>
                  </m:dPr>
                  <m:e>
                    <m:r>
                      <m:rPr/>
                      <w:rPr>
                        <w:rFonts w:hint="eastAsia" w:ascii="Cambria Math" w:hAnsi="Cambria Math"/>
                        <w:color w:val="auto"/>
                        <w:sz w:val="20"/>
                      </w:rPr>
                      <m:t>i,</m:t>
                    </m:r>
                    <m:sSub>
                      <m:sSubPr>
                        <m:ctrlPr>
                          <w:rPr>
                            <w:rFonts w:hint="eastAsia" w:ascii="Cambria Math" w:hAnsi="Cambria Math"/>
                            <w:i w:val="0"/>
                            <w:color w:val="auto"/>
                            <w:sz w:val="20"/>
                          </w:rPr>
                        </m:ctrlPr>
                      </m:sSubPr>
                      <m:e>
                        <m:r>
                          <m:rPr/>
                          <w:rPr>
                            <w:rFonts w:hint="eastAsia" w:ascii="Cambria Math" w:hAnsi="Cambria Math"/>
                            <w:color w:val="auto"/>
                            <w:sz w:val="20"/>
                          </w:rPr>
                          <m:t>q</m:t>
                        </m:r>
                        <m:ctrlPr>
                          <w:rPr>
                            <w:rFonts w:hint="eastAsia" w:ascii="Cambria Math" w:hAnsi="Cambria Math"/>
                            <w:i w:val="0"/>
                            <w:color w:val="auto"/>
                            <w:sz w:val="20"/>
                          </w:rPr>
                        </m:ctrlPr>
                      </m:e>
                      <m:sub>
                        <m:r>
                          <m:rPr/>
                          <w:rPr>
                            <w:rFonts w:hint="eastAsia" w:ascii="Cambria Math" w:hAnsi="Cambria Math"/>
                            <w:color w:val="auto"/>
                            <w:sz w:val="20"/>
                          </w:rPr>
                          <m:t>s</m:t>
                        </m:r>
                        <m:ctrlPr>
                          <w:rPr>
                            <w:rFonts w:hint="eastAsia" w:ascii="Cambria Math" w:hAnsi="Cambria Math"/>
                            <w:i w:val="0"/>
                            <w:color w:val="auto"/>
                            <w:sz w:val="20"/>
                          </w:rPr>
                        </m:ctrlPr>
                      </m:sub>
                    </m:sSub>
                    <m:ctrlPr>
                      <w:rPr>
                        <w:rFonts w:hint="eastAsia" w:ascii="Cambria Math" w:hAnsi="Cambria Math"/>
                        <w:i w:val="0"/>
                        <w:color w:val="auto"/>
                        <w:sz w:val="20"/>
                      </w:rPr>
                    </m:ctrlPr>
                  </m:e>
                </m:d>
                <m:r>
                  <m:rPr/>
                  <w:rPr>
                    <w:rFonts w:hint="eastAsia" w:ascii="Cambria Math" w:hAnsi="Cambria Math"/>
                    <w:color w:val="auto"/>
                    <w:sz w:val="20"/>
                  </w:rPr>
                  <m:t>=</m:t>
                </m:r>
                <m:f>
                  <m:fPr>
                    <m:ctrlPr>
                      <w:rPr>
                        <w:rFonts w:hint="eastAsia" w:ascii="Cambria Math" w:hAnsi="Cambria Math"/>
                        <w:i w:val="0"/>
                        <w:color w:val="auto"/>
                        <w:sz w:val="20"/>
                      </w:rPr>
                    </m:ctrlPr>
                  </m:fPr>
                  <m:num>
                    <m:sSub>
                      <m:sSubPr>
                        <m:ctrlPr>
                          <w:rPr>
                            <w:rFonts w:hint="eastAsia" w:ascii="Cambria Math" w:hAnsi="Cambria Math"/>
                            <w:i w:val="0"/>
                            <w:color w:val="auto"/>
                            <w:sz w:val="20"/>
                          </w:rPr>
                        </m:ctrlPr>
                      </m:sSubPr>
                      <m:e>
                        <m:r>
                          <m:rPr/>
                          <w:rPr>
                            <w:rFonts w:hint="eastAsia" w:ascii="Cambria Math" w:hAnsi="Cambria Math"/>
                            <w:color w:val="auto"/>
                            <w:sz w:val="20"/>
                          </w:rPr>
                          <m:t>P</m:t>
                        </m:r>
                        <m:ctrlPr>
                          <w:rPr>
                            <w:rFonts w:hint="eastAsia" w:ascii="Cambria Math" w:hAnsi="Cambria Math"/>
                            <w:i w:val="0"/>
                            <w:color w:val="auto"/>
                            <w:sz w:val="20"/>
                          </w:rPr>
                        </m:ctrlPr>
                      </m:e>
                      <m:sub>
                        <m:r>
                          <m:rPr/>
                          <w:rPr>
                            <w:rFonts w:hint="eastAsia" w:ascii="Cambria Math" w:hAnsi="Cambria Math"/>
                            <w:color w:val="auto"/>
                            <w:sz w:val="20"/>
                          </w:rPr>
                          <m:t>SRS,b,f,c</m:t>
                        </m:r>
                        <m:ctrlPr>
                          <w:rPr>
                            <w:rFonts w:hint="eastAsia" w:ascii="Cambria Math" w:hAnsi="Cambria Math"/>
                            <w:i w:val="0"/>
                            <w:color w:val="auto"/>
                            <w:sz w:val="20"/>
                          </w:rPr>
                        </m:ctrlPr>
                      </m:sub>
                    </m:sSub>
                    <m:d>
                      <m:dPr>
                        <m:ctrlPr>
                          <w:rPr>
                            <w:rFonts w:hint="eastAsia" w:ascii="Cambria Math" w:hAnsi="Cambria Math"/>
                            <w:i w:val="0"/>
                            <w:color w:val="auto"/>
                            <w:sz w:val="20"/>
                          </w:rPr>
                        </m:ctrlPr>
                      </m:dPr>
                      <m:e>
                        <m:r>
                          <m:rPr/>
                          <w:rPr>
                            <w:rFonts w:hint="eastAsia" w:ascii="Cambria Math" w:hAnsi="Cambria Math"/>
                            <w:color w:val="auto"/>
                            <w:sz w:val="20"/>
                          </w:rPr>
                          <m:t>i,</m:t>
                        </m:r>
                        <m:sSub>
                          <m:sSubPr>
                            <m:ctrlPr>
                              <w:rPr>
                                <w:rFonts w:hint="eastAsia" w:ascii="Cambria Math" w:hAnsi="Cambria Math"/>
                                <w:i w:val="0"/>
                                <w:color w:val="auto"/>
                                <w:sz w:val="20"/>
                              </w:rPr>
                            </m:ctrlPr>
                          </m:sSubPr>
                          <m:e>
                            <m:r>
                              <m:rPr/>
                              <w:rPr>
                                <w:rFonts w:hint="eastAsia" w:ascii="Cambria Math" w:hAnsi="Cambria Math"/>
                                <w:color w:val="auto"/>
                                <w:sz w:val="20"/>
                              </w:rPr>
                              <m:t>q</m:t>
                            </m:r>
                            <m:ctrlPr>
                              <w:rPr>
                                <w:rFonts w:hint="eastAsia" w:ascii="Cambria Math" w:hAnsi="Cambria Math"/>
                                <w:i w:val="0"/>
                                <w:color w:val="auto"/>
                                <w:sz w:val="20"/>
                              </w:rPr>
                            </m:ctrlPr>
                          </m:e>
                          <m:sub>
                            <m:r>
                              <m:rPr/>
                              <w:rPr>
                                <w:rFonts w:hint="eastAsia" w:ascii="Cambria Math" w:hAnsi="Cambria Math"/>
                                <w:color w:val="auto"/>
                                <w:sz w:val="20"/>
                              </w:rPr>
                              <m:t>s</m:t>
                            </m:r>
                            <m:ctrlPr>
                              <w:rPr>
                                <w:rFonts w:hint="eastAsia" w:ascii="Cambria Math" w:hAnsi="Cambria Math"/>
                                <w:i w:val="0"/>
                                <w:color w:val="auto"/>
                                <w:sz w:val="20"/>
                              </w:rPr>
                            </m:ctrlPr>
                          </m:sub>
                        </m:sSub>
                        <m:ctrlPr>
                          <w:rPr>
                            <w:rFonts w:hint="eastAsia" w:ascii="Cambria Math" w:hAnsi="Cambria Math"/>
                            <w:i w:val="0"/>
                            <w:color w:val="auto"/>
                            <w:sz w:val="20"/>
                          </w:rPr>
                        </m:ctrlPr>
                      </m:e>
                    </m:d>
                    <m:ctrlPr>
                      <w:rPr>
                        <w:rFonts w:hint="eastAsia" w:ascii="Cambria Math" w:hAnsi="Cambria Math"/>
                        <w:i w:val="0"/>
                        <w:color w:val="auto"/>
                        <w:sz w:val="20"/>
                      </w:rPr>
                    </m:ctrlPr>
                  </m:num>
                  <m:den>
                    <m:nary>
                      <m:naryPr>
                        <m:chr m:val="∑"/>
                        <m:limLoc m:val="undOvr"/>
                        <m:subHide m:val="1"/>
                        <m:supHide m:val="1"/>
                        <m:ctrlPr>
                          <w:rPr>
                            <w:rFonts w:hint="eastAsia" w:ascii="Cambria Math" w:hAnsi="Cambria Math"/>
                            <w:i w:val="0"/>
                            <w:color w:val="auto"/>
                            <w:sz w:val="20"/>
                          </w:rPr>
                        </m:ctrlPr>
                      </m:naryPr>
                      <m:sub>
                        <m:ctrlPr>
                          <w:rPr>
                            <w:rFonts w:hint="eastAsia" w:ascii="Cambria Math" w:hAnsi="Cambria Math"/>
                            <w:i w:val="0"/>
                            <w:color w:val="auto"/>
                            <w:sz w:val="20"/>
                          </w:rPr>
                        </m:ctrlPr>
                      </m:sub>
                      <m:sup>
                        <m:ctrlPr>
                          <w:rPr>
                            <w:rFonts w:hint="eastAsia" w:ascii="Cambria Math" w:hAnsi="Cambria Math"/>
                            <w:i w:val="0"/>
                            <w:color w:val="auto"/>
                            <w:sz w:val="20"/>
                          </w:rPr>
                        </m:ctrlPr>
                      </m:sup>
                      <m:e>
                        <m:sSub>
                          <m:sSubPr>
                            <m:ctrlPr>
                              <w:rPr>
                                <w:rFonts w:hint="eastAsia" w:ascii="Cambria Math" w:hAnsi="Cambria Math"/>
                                <w:i w:val="0"/>
                                <w:color w:val="auto"/>
                                <w:sz w:val="20"/>
                              </w:rPr>
                            </m:ctrlPr>
                          </m:sSubPr>
                          <m:e>
                            <m:r>
                              <m:rPr/>
                              <w:rPr>
                                <w:rFonts w:hint="eastAsia" w:ascii="Cambria Math" w:hAnsi="Cambria Math"/>
                                <w:color w:val="auto"/>
                                <w:sz w:val="20"/>
                              </w:rPr>
                              <m:t>P</m:t>
                            </m:r>
                            <m:ctrlPr>
                              <w:rPr>
                                <w:rFonts w:hint="eastAsia" w:ascii="Cambria Math" w:hAnsi="Cambria Math"/>
                                <w:i w:val="0"/>
                                <w:color w:val="auto"/>
                                <w:sz w:val="20"/>
                              </w:rPr>
                            </m:ctrlPr>
                          </m:e>
                          <m:sub>
                            <m:r>
                              <m:rPr/>
                              <w:rPr>
                                <w:rFonts w:hint="eastAsia" w:ascii="Cambria Math" w:hAnsi="Cambria Math"/>
                                <w:color w:val="auto"/>
                                <w:sz w:val="20"/>
                              </w:rPr>
                              <m:t>SRS,b,f,c</m:t>
                            </m:r>
                            <m:ctrlPr>
                              <w:rPr>
                                <w:rFonts w:hint="eastAsia" w:ascii="Cambria Math" w:hAnsi="Cambria Math"/>
                                <w:i w:val="0"/>
                                <w:color w:val="auto"/>
                                <w:sz w:val="20"/>
                              </w:rPr>
                            </m:ctrlPr>
                          </m:sub>
                        </m:sSub>
                        <m:d>
                          <m:dPr>
                            <m:ctrlPr>
                              <w:rPr>
                                <w:rFonts w:hint="eastAsia" w:ascii="Cambria Math" w:hAnsi="Cambria Math"/>
                                <w:i w:val="0"/>
                                <w:color w:val="auto"/>
                                <w:sz w:val="20"/>
                              </w:rPr>
                            </m:ctrlPr>
                          </m:dPr>
                          <m:e>
                            <m:r>
                              <m:rPr/>
                              <w:rPr>
                                <w:rFonts w:hint="eastAsia" w:ascii="Cambria Math" w:hAnsi="Cambria Math"/>
                                <w:color w:val="auto"/>
                                <w:sz w:val="20"/>
                              </w:rPr>
                              <m:t>i,</m:t>
                            </m:r>
                            <m:sSub>
                              <m:sSubPr>
                                <m:ctrlPr>
                                  <w:rPr>
                                    <w:rFonts w:hint="eastAsia" w:ascii="Cambria Math" w:hAnsi="Cambria Math"/>
                                    <w:i w:val="0"/>
                                    <w:color w:val="auto"/>
                                    <w:sz w:val="20"/>
                                  </w:rPr>
                                </m:ctrlPr>
                              </m:sSubPr>
                              <m:e>
                                <m:r>
                                  <m:rPr/>
                                  <w:rPr>
                                    <w:rFonts w:hint="eastAsia" w:ascii="Cambria Math" w:hAnsi="Cambria Math"/>
                                    <w:color w:val="auto"/>
                                    <w:sz w:val="20"/>
                                  </w:rPr>
                                  <m:t>q</m:t>
                                </m:r>
                                <m:ctrlPr>
                                  <w:rPr>
                                    <w:rFonts w:hint="eastAsia" w:ascii="Cambria Math" w:hAnsi="Cambria Math"/>
                                    <w:i w:val="0"/>
                                    <w:color w:val="auto"/>
                                    <w:sz w:val="20"/>
                                  </w:rPr>
                                </m:ctrlPr>
                              </m:e>
                              <m:sub>
                                <m:r>
                                  <m:rPr/>
                                  <w:rPr>
                                    <w:rFonts w:hint="eastAsia" w:ascii="Cambria Math" w:hAnsi="Cambria Math"/>
                                    <w:color w:val="auto"/>
                                    <w:sz w:val="20"/>
                                  </w:rPr>
                                  <m:t>s</m:t>
                                </m:r>
                                <m:ctrlPr>
                                  <w:rPr>
                                    <w:rFonts w:hint="eastAsia" w:ascii="Cambria Math" w:hAnsi="Cambria Math"/>
                                    <w:i w:val="0"/>
                                    <w:color w:val="auto"/>
                                    <w:sz w:val="20"/>
                                  </w:rPr>
                                </m:ctrlPr>
                              </m:sub>
                            </m:sSub>
                            <m:ctrlPr>
                              <w:rPr>
                                <w:rFonts w:hint="eastAsia" w:ascii="Cambria Math" w:hAnsi="Cambria Math"/>
                                <w:i w:val="0"/>
                                <w:color w:val="auto"/>
                                <w:sz w:val="20"/>
                              </w:rPr>
                            </m:ctrlPr>
                          </m:e>
                        </m:d>
                        <m:ctrlPr>
                          <w:rPr>
                            <w:rFonts w:hint="eastAsia" w:ascii="Cambria Math" w:hAnsi="Cambria Math"/>
                            <w:i w:val="0"/>
                            <w:color w:val="auto"/>
                            <w:sz w:val="20"/>
                          </w:rPr>
                        </m:ctrlPr>
                      </m:e>
                    </m:nary>
                    <m:ctrlPr>
                      <w:rPr>
                        <w:rFonts w:hint="eastAsia" w:ascii="Cambria Math" w:hAnsi="Cambria Math"/>
                        <w:i w:val="0"/>
                        <w:color w:val="auto"/>
                        <w:sz w:val="20"/>
                      </w:rPr>
                    </m:ctrlPr>
                  </m:den>
                </m:f>
                <m:r>
                  <m:rPr/>
                  <w:rPr>
                    <w:rFonts w:hint="eastAsia" w:ascii="Cambria Math" w:hAnsi="Cambria Math"/>
                    <w:color w:val="auto"/>
                    <w:sz w:val="20"/>
                  </w:rPr>
                  <m:t>∙</m:t>
                </m:r>
                <m:sSub>
                  <m:sSubPr>
                    <m:ctrlPr>
                      <w:rPr>
                        <w:rFonts w:hint="eastAsia" w:ascii="Cambria Math" w:hAnsi="Cambria Math"/>
                        <w:i w:val="0"/>
                        <w:color w:val="auto"/>
                        <w:sz w:val="20"/>
                      </w:rPr>
                    </m:ctrlPr>
                  </m:sSubPr>
                  <m:e>
                    <m:r>
                      <m:rPr/>
                      <w:rPr>
                        <w:rFonts w:hint="eastAsia" w:ascii="Cambria Math" w:hAnsi="Cambria Math"/>
                        <w:color w:val="auto"/>
                        <w:sz w:val="20"/>
                      </w:rPr>
                      <m:t>P</m:t>
                    </m:r>
                    <m:ctrlPr>
                      <w:rPr>
                        <w:rFonts w:hint="eastAsia" w:ascii="Cambria Math" w:hAnsi="Cambria Math"/>
                        <w:i w:val="0"/>
                        <w:color w:val="auto"/>
                        <w:sz w:val="20"/>
                      </w:rPr>
                    </m:ctrlPr>
                  </m:e>
                  <m:sub>
                    <m:r>
                      <m:rPr/>
                      <w:rPr>
                        <w:rFonts w:hint="eastAsia" w:ascii="Cambria Math" w:hAnsi="Cambria Math"/>
                        <w:color w:val="auto"/>
                        <w:sz w:val="20"/>
                      </w:rPr>
                      <m:t>SRS</m:t>
                    </m:r>
                    <m:ctrlPr>
                      <w:rPr>
                        <w:rFonts w:hint="eastAsia" w:ascii="Cambria Math" w:hAnsi="Cambria Math"/>
                        <w:i w:val="0"/>
                        <w:color w:val="auto"/>
                        <w:sz w:val="20"/>
                      </w:rPr>
                    </m:ctrlPr>
                  </m:sub>
                </m:sSub>
                <m:r>
                  <m:rPr/>
                  <w:rPr>
                    <w:rFonts w:hint="eastAsia" w:ascii="Cambria Math" w:hAnsi="Cambria Math"/>
                    <w:color w:val="auto"/>
                    <w:sz w:val="20"/>
                  </w:rPr>
                  <m:t>(i)</m:t>
                </m:r>
              </m:oMath>
            </m:oMathPara>
          </w:p>
          <w:p>
            <w:pPr>
              <w:rPr>
                <w:sz w:val="20"/>
                <w:szCs w:val="20"/>
              </w:rPr>
            </w:pPr>
            <w:r>
              <w:rPr>
                <w:rFonts w:hint="eastAsia"/>
                <w:sz w:val="20"/>
                <w:szCs w:val="20"/>
              </w:rPr>
              <w:t xml:space="preserve">where, </w:t>
            </w:r>
          </w:p>
          <w:p>
            <w:pPr>
              <w:pStyle w:val="139"/>
              <w:numPr>
                <w:ilvl w:val="0"/>
                <w:numId w:val="38"/>
              </w:numPr>
              <w:rPr>
                <w:sz w:val="20"/>
              </w:rPr>
            </w:pPr>
            <m:oMath>
              <m:sSub>
                <m:sSubPr>
                  <m:ctrlPr>
                    <w:rPr>
                      <w:rFonts w:hint="eastAsia" w:ascii="Cambria Math" w:hAnsi="Cambria Math"/>
                      <w:sz w:val="20"/>
                    </w:rPr>
                  </m:ctrlPr>
                </m:sSubPr>
                <m:e>
                  <m:r>
                    <m:rPr>
                      <m:sty m:val="p"/>
                    </m:rPr>
                    <w:rPr>
                      <w:rFonts w:hint="eastAsia" w:ascii="Cambria Math" w:hAnsi="Cambria Math"/>
                      <w:sz w:val="20"/>
                    </w:rPr>
                    <m:t>P</m:t>
                  </m:r>
                  <m:ctrlPr>
                    <w:rPr>
                      <w:rFonts w:hint="eastAsia" w:ascii="Cambria Math" w:hAnsi="Cambria Math"/>
                      <w:sz w:val="20"/>
                    </w:rPr>
                  </m:ctrlPr>
                </m:e>
                <m:sub>
                  <m:r>
                    <m:rPr>
                      <m:sty m:val="p"/>
                    </m:rPr>
                    <w:rPr>
                      <w:rFonts w:hint="eastAsia" w:ascii="Cambria Math" w:hAnsi="Cambria Math"/>
                      <w:sz w:val="20"/>
                    </w:rPr>
                    <m:t>SRS,b,f,c</m:t>
                  </m:r>
                  <m:ctrlPr>
                    <w:rPr>
                      <w:rFonts w:hint="eastAsia" w:ascii="Cambria Math" w:hAnsi="Cambria Math"/>
                      <w:sz w:val="20"/>
                    </w:rPr>
                  </m:ctrlPr>
                </m:sub>
              </m:sSub>
              <m:d>
                <m:dPr>
                  <m:ctrlPr>
                    <w:rPr>
                      <w:rFonts w:hint="eastAsia" w:ascii="Cambria Math" w:hAnsi="Cambria Math"/>
                      <w:sz w:val="20"/>
                    </w:rPr>
                  </m:ctrlPr>
                </m:dPr>
                <m:e>
                  <m:r>
                    <m:rPr>
                      <m:sty m:val="p"/>
                    </m:rPr>
                    <w:rPr>
                      <w:rFonts w:hint="eastAsia" w:ascii="Cambria Math" w:hAnsi="Cambria Math"/>
                      <w:sz w:val="20"/>
                    </w:rPr>
                    <m:t>i,</m:t>
                  </m:r>
                  <m:sSub>
                    <m:sSubPr>
                      <m:ctrlPr>
                        <w:rPr>
                          <w:rFonts w:hint="eastAsia" w:ascii="Cambria Math" w:hAnsi="Cambria Math"/>
                          <w:sz w:val="20"/>
                        </w:rPr>
                      </m:ctrlPr>
                    </m:sSubPr>
                    <m:e>
                      <m:r>
                        <m:rPr>
                          <m:sty m:val="p"/>
                        </m:rPr>
                        <w:rPr>
                          <w:rFonts w:hint="eastAsia" w:ascii="Cambria Math" w:hAnsi="Cambria Math"/>
                          <w:sz w:val="20"/>
                        </w:rPr>
                        <m:t>q</m:t>
                      </m:r>
                      <m:ctrlPr>
                        <w:rPr>
                          <w:rFonts w:hint="eastAsia" w:ascii="Cambria Math" w:hAnsi="Cambria Math"/>
                          <w:sz w:val="20"/>
                        </w:rPr>
                      </m:ctrlPr>
                    </m:e>
                    <m:sub>
                      <m:r>
                        <m:rPr>
                          <m:sty m:val="p"/>
                        </m:rPr>
                        <w:rPr>
                          <w:rFonts w:hint="eastAsia" w:ascii="Cambria Math" w:hAnsi="Cambria Math"/>
                          <w:sz w:val="20"/>
                        </w:rPr>
                        <m:t>s</m:t>
                      </m:r>
                      <m:ctrlPr>
                        <w:rPr>
                          <w:rFonts w:hint="eastAsia" w:ascii="Cambria Math" w:hAnsi="Cambria Math"/>
                          <w:sz w:val="20"/>
                        </w:rPr>
                      </m:ctrlPr>
                    </m:sub>
                  </m:sSub>
                  <m:ctrlPr>
                    <w:rPr>
                      <w:rFonts w:hint="eastAsia" w:ascii="Cambria Math" w:hAnsi="Cambria Math"/>
                      <w:sz w:val="20"/>
                    </w:rPr>
                  </m:ctrlPr>
                </m:e>
              </m:d>
            </m:oMath>
            <w:r>
              <w:rPr>
                <w:rFonts w:hint="eastAsia"/>
                <w:sz w:val="20"/>
                <w:lang w:eastAsia="zh-CN"/>
              </w:rPr>
              <w:t xml:space="preserve"> is the linear transmission power calculated as the legacy per CC power control for SRS transmission</w:t>
            </w:r>
          </w:p>
          <w:p>
            <w:pPr>
              <w:pStyle w:val="139"/>
              <w:numPr>
                <w:ilvl w:val="0"/>
                <w:numId w:val="38"/>
              </w:numPr>
              <w:rPr>
                <w:sz w:val="20"/>
              </w:rPr>
            </w:pPr>
            <m:oMath>
              <m:sSub>
                <m:sSubPr>
                  <m:ctrlPr>
                    <w:rPr>
                      <w:rFonts w:hint="eastAsia" w:ascii="Cambria Math" w:hAnsi="Cambria Math"/>
                      <w:sz w:val="20"/>
                    </w:rPr>
                  </m:ctrlPr>
                </m:sSubPr>
                <m:e>
                  <m:r>
                    <m:rPr>
                      <m:sty m:val="p"/>
                    </m:rPr>
                    <w:rPr>
                      <w:rFonts w:hint="eastAsia" w:ascii="Cambria Math" w:hAnsi="Cambria Math"/>
                      <w:sz w:val="20"/>
                    </w:rPr>
                    <m:t>P</m:t>
                  </m:r>
                  <m:ctrlPr>
                    <w:rPr>
                      <w:rFonts w:hint="eastAsia" w:ascii="Cambria Math" w:hAnsi="Cambria Math"/>
                      <w:sz w:val="20"/>
                    </w:rPr>
                  </m:ctrlPr>
                </m:e>
                <m:sub>
                  <m:r>
                    <m:rPr>
                      <m:sty m:val="p"/>
                    </m:rPr>
                    <w:rPr>
                      <w:rFonts w:hint="eastAsia" w:ascii="Cambria Math" w:hAnsi="Cambria Math"/>
                      <w:sz w:val="20"/>
                    </w:rPr>
                    <m:t>SRS</m:t>
                  </m:r>
                  <m:ctrlPr>
                    <w:rPr>
                      <w:rFonts w:hint="eastAsia" w:ascii="Cambria Math" w:hAnsi="Cambria Math"/>
                      <w:sz w:val="20"/>
                    </w:rPr>
                  </m:ctrlPr>
                </m:sub>
              </m:sSub>
              <m:r>
                <m:rPr>
                  <m:sty m:val="p"/>
                </m:rPr>
                <w:rPr>
                  <w:rFonts w:hint="eastAsia" w:ascii="Cambria Math" w:hAnsi="Cambria Math"/>
                  <w:sz w:val="20"/>
                </w:rPr>
                <m:t>(i)</m:t>
              </m:r>
            </m:oMath>
            <w:r>
              <w:rPr>
                <w:rFonts w:hint="eastAsia"/>
                <w:sz w:val="20"/>
                <w:lang w:eastAsia="zh-CN"/>
              </w:rPr>
              <w:t xml:space="preserve"> is the remaining linear power for SRS transmission </w:t>
            </w:r>
            <m:oMath>
              <m:r>
                <m:rPr>
                  <m:sty m:val="p"/>
                </m:rPr>
                <w:rPr>
                  <w:rFonts w:hint="eastAsia" w:ascii="Cambria Math" w:hAnsi="Cambria Math"/>
                  <w:sz w:val="20"/>
                </w:rPr>
                <m:t>i</m:t>
              </m:r>
            </m:oMath>
            <w:r>
              <w:rPr>
                <w:rFonts w:hint="eastAsia"/>
                <w:sz w:val="20"/>
                <w:lang w:eastAsia="zh-CN"/>
              </w:rPr>
              <w:t xml:space="preserve"> after allocating the transmission power for other channels or signals whose priorities are higher than SRS.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rFonts w:hint="eastAsia"/>
                <w:sz w:val="20"/>
                <w:szCs w:val="20"/>
                <w:lang w:val="en-GB"/>
              </w:rPr>
              <w:t>Intel</w:t>
            </w:r>
          </w:p>
        </w:tc>
        <w:tc>
          <w:tcPr>
            <w:tcW w:w="8221" w:type="dxa"/>
          </w:tcPr>
          <w:p>
            <w:pPr>
              <w:spacing w:before="240"/>
              <w:jc w:val="both"/>
              <w:rPr>
                <w:sz w:val="20"/>
                <w:szCs w:val="20"/>
              </w:rPr>
            </w:pPr>
            <w:r>
              <w:rPr>
                <w:rFonts w:hint="eastAsia"/>
                <w:sz w:val="20"/>
                <w:szCs w:val="20"/>
              </w:rPr>
              <w:t>Proposal 6</w:t>
            </w:r>
          </w:p>
          <w:p>
            <w:pPr>
              <w:numPr>
                <w:ilvl w:val="0"/>
                <w:numId w:val="8"/>
              </w:numPr>
              <w:spacing w:before="60"/>
              <w:ind w:left="288" w:hanging="288"/>
              <w:jc w:val="both"/>
              <w:rPr>
                <w:sz w:val="20"/>
                <w:szCs w:val="20"/>
              </w:rPr>
            </w:pPr>
            <w:r>
              <w:rPr>
                <w:rFonts w:hint="eastAsia"/>
                <w:sz w:val="20"/>
                <w:szCs w:val="20"/>
              </w:rPr>
              <w:t xml:space="preserve">When total transmit power exceeds maximum transmit power, a transmit power scaling factor in a carrier can be calculated based on SRS transmission bandwidth in a carrier and total SRS transmission bandwidth across contiguous carriers.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rFonts w:hint="eastAsia"/>
                <w:sz w:val="20"/>
                <w:szCs w:val="20"/>
                <w:lang w:val="en-GB"/>
              </w:rPr>
              <w:t>Samsung</w:t>
            </w:r>
          </w:p>
        </w:tc>
        <w:tc>
          <w:tcPr>
            <w:tcW w:w="8221" w:type="dxa"/>
          </w:tcPr>
          <w:p>
            <w:pPr>
              <w:ind w:firstLine="231"/>
              <w:rPr>
                <w:sz w:val="20"/>
                <w:szCs w:val="20"/>
                <w:lang w:eastAsia="ja-JP"/>
              </w:rPr>
            </w:pPr>
            <w:r>
              <w:rPr>
                <w:rFonts w:hint="eastAsia"/>
                <w:sz w:val="20"/>
                <w:szCs w:val="20"/>
                <w:lang w:eastAsia="ja-JP"/>
              </w:rPr>
              <w:t>Propose 2:</w:t>
            </w:r>
            <w:r>
              <w:rPr>
                <w:rFonts w:hint="eastAsia"/>
                <w:sz w:val="20"/>
                <w:szCs w:val="20"/>
              </w:rPr>
              <w:t xml:space="preserve"> </w:t>
            </w:r>
            <w:r>
              <w:rPr>
                <w:rFonts w:hint="eastAsia"/>
                <w:sz w:val="20"/>
                <w:szCs w:val="20"/>
                <w:lang w:eastAsia="ja-JP"/>
              </w:rPr>
              <w:t>Since the power priority of the aggregated CC is the same, a common power scaling factor should be configured for entire aggregated carriers to reduce power until the power limit is satisfied.</w:t>
            </w:r>
          </w:p>
          <w:p>
            <w:pPr>
              <w:ind w:firstLine="231"/>
              <w:rPr>
                <w:sz w:val="20"/>
                <w:szCs w:val="20"/>
                <w:lang w:eastAsia="ja-JP"/>
              </w:rPr>
            </w:pPr>
            <w:r>
              <w:rPr>
                <w:rFonts w:hint="eastAsia"/>
                <w:sz w:val="20"/>
                <w:szCs w:val="20"/>
                <w:lang w:eastAsia="ja-JP"/>
              </w:rPr>
              <w:t xml:space="preserve">Propose 3: Considering that SRS bandwidth aggregation cannot improve measurement accuracy and may result in unnecessary power consumption when the transmitter power of the SRS is too low, UE may drop one or more aggregated carriers to improve the transmit power in each transmitted resource element with equal value in the aggregated CCs. </w:t>
            </w:r>
          </w:p>
          <w:p>
            <w:pPr>
              <w:snapToGrid w:val="0"/>
              <w:rPr>
                <w:rFonts w:eastAsia="Yu Mincho"/>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sz w:val="20"/>
                <w:szCs w:val="20"/>
              </w:rPr>
            </w:pPr>
            <w:r>
              <w:rPr>
                <w:rFonts w:hint="eastAsia" w:eastAsia="宋体"/>
                <w:sz w:val="20"/>
                <w:szCs w:val="20"/>
              </w:rPr>
              <w:t>Apple</w:t>
            </w:r>
          </w:p>
        </w:tc>
        <w:tc>
          <w:tcPr>
            <w:tcW w:w="8221" w:type="dxa"/>
            <w:vAlign w:val="center"/>
          </w:tcPr>
          <w:p>
            <w:pPr>
              <w:jc w:val="both"/>
              <w:rPr>
                <w:sz w:val="20"/>
                <w:szCs w:val="20"/>
              </w:rPr>
            </w:pPr>
            <w:r>
              <w:rPr>
                <w:rFonts w:hint="eastAsia"/>
                <w:sz w:val="20"/>
                <w:szCs w:val="20"/>
              </w:rPr>
              <w:t xml:space="preserve">Proposal 11: To enable estimation of the power across multiple aggregated carriers the following procedure may be followed: </w:t>
            </w:r>
          </w:p>
          <w:p>
            <w:pPr>
              <w:pStyle w:val="139"/>
              <w:numPr>
                <w:ilvl w:val="0"/>
                <w:numId w:val="39"/>
              </w:numPr>
              <w:jc w:val="both"/>
              <w:rPr>
                <w:sz w:val="20"/>
              </w:rPr>
            </w:pPr>
            <w:r>
              <w:rPr>
                <w:rFonts w:hint="eastAsia"/>
                <w:sz w:val="20"/>
              </w:rPr>
              <w:t xml:space="preserve">select a reference CC and estimate the EPRE for the SRS in the reference CC. </w:t>
            </w:r>
          </w:p>
          <w:p>
            <w:pPr>
              <w:pStyle w:val="139"/>
              <w:numPr>
                <w:ilvl w:val="0"/>
                <w:numId w:val="39"/>
              </w:numPr>
              <w:jc w:val="both"/>
              <w:rPr>
                <w:sz w:val="20"/>
              </w:rPr>
            </w:pPr>
            <w:r>
              <w:rPr>
                <w:rFonts w:hint="eastAsia"/>
                <w:color w:val="000000" w:themeColor="text1"/>
                <w:sz w:val="20"/>
                <w14:textFill>
                  <w14:solidFill>
                    <w14:schemeClr w14:val="tx1"/>
                  </w14:solidFill>
                </w14:textFill>
              </w:rPr>
              <w:t xml:space="preserve">Set </w:t>
            </w:r>
            <w:r>
              <w:rPr>
                <w:rFonts w:hint="eastAsia"/>
                <w:sz w:val="20"/>
              </w:rPr>
              <w:t xml:space="preserve">the EPRE for the SRSs in the additional CC(s) and scale the  total power to ensure Pc_max is not exceeded. </w:t>
            </w:r>
          </w:p>
          <w:p>
            <w:pPr>
              <w:pStyle w:val="139"/>
              <w:numPr>
                <w:ilvl w:val="0"/>
                <w:numId w:val="39"/>
              </w:numPr>
              <w:jc w:val="both"/>
              <w:rPr>
                <w:sz w:val="20"/>
              </w:rPr>
            </w:pPr>
            <w:r>
              <w:rPr>
                <w:rFonts w:hint="eastAsia"/>
                <w:sz w:val="20"/>
              </w:rPr>
              <w:t>If the EPRE after scaling is insufficient for good performance, the rules for dropping CCs may need to be supported.</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sz w:val="20"/>
                <w:szCs w:val="20"/>
                <w:lang w:val="en-GB"/>
              </w:rPr>
            </w:pPr>
            <w:r>
              <w:rPr>
                <w:rFonts w:hint="eastAsia"/>
                <w:sz w:val="20"/>
                <w:szCs w:val="20"/>
                <w:lang w:val="en-GB"/>
              </w:rPr>
              <w:t>Xiaomi</w:t>
            </w:r>
          </w:p>
        </w:tc>
        <w:tc>
          <w:tcPr>
            <w:tcW w:w="8221" w:type="dxa"/>
          </w:tcPr>
          <w:p>
            <w:pPr>
              <w:rPr>
                <w:rFonts w:eastAsia="宋体"/>
                <w:sz w:val="20"/>
                <w:szCs w:val="20"/>
              </w:rPr>
            </w:pPr>
            <w:r>
              <w:rPr>
                <w:rFonts w:hint="eastAsia" w:eastAsia="宋体"/>
                <w:sz w:val="20"/>
                <w:szCs w:val="20"/>
              </w:rPr>
              <w:t xml:space="preserve">Proposal 11: The power scaling for SRS in CCi, denoted as </w:t>
            </w:r>
            <m:oMath>
              <m:sSub>
                <m:sSubPr>
                  <m:ctrlPr>
                    <w:rPr>
                      <w:rFonts w:hint="eastAsia" w:ascii="Cambria Math" w:hAnsi="Cambria Math" w:eastAsia="宋体"/>
                      <w:sz w:val="20"/>
                      <w:szCs w:val="20"/>
                    </w:rPr>
                  </m:ctrlPr>
                </m:sSubPr>
                <m:e>
                  <m:r>
                    <m:rPr>
                      <m:sty m:val="p"/>
                    </m:rPr>
                    <w:rPr>
                      <w:rFonts w:hint="eastAsia" w:ascii="Cambria Math" w:hAnsi="Cambria Math" w:eastAsia="宋体"/>
                      <w:sz w:val="20"/>
                      <w:szCs w:val="20"/>
                    </w:rPr>
                    <m:t>p</m:t>
                  </m:r>
                  <m:ctrlPr>
                    <w:rPr>
                      <w:rFonts w:hint="eastAsia" w:ascii="Cambria Math" w:hAnsi="Cambria Math" w:eastAsia="宋体"/>
                      <w:sz w:val="20"/>
                      <w:szCs w:val="20"/>
                    </w:rPr>
                  </m:ctrlPr>
                </m:e>
                <m:sub>
                  <m:r>
                    <m:rPr>
                      <m:sty m:val="p"/>
                    </m:rPr>
                    <w:rPr>
                      <w:rFonts w:hint="eastAsia" w:ascii="Cambria Math" w:hAnsi="Cambria Math" w:eastAsia="宋体"/>
                      <w:sz w:val="20"/>
                      <w:szCs w:val="20"/>
                    </w:rPr>
                    <m:t>i</m:t>
                  </m:r>
                  <m:ctrlPr>
                    <w:rPr>
                      <w:rFonts w:hint="eastAsia" w:ascii="Cambria Math" w:hAnsi="Cambria Math" w:eastAsia="宋体"/>
                      <w:sz w:val="20"/>
                      <w:szCs w:val="20"/>
                    </w:rPr>
                  </m:ctrlPr>
                </m:sub>
              </m:sSub>
            </m:oMath>
            <w:r>
              <w:rPr>
                <w:rFonts w:hint="eastAsia" w:eastAsia="宋体"/>
                <w:sz w:val="20"/>
                <w:szCs w:val="20"/>
              </w:rPr>
              <w:t>, should be</w:t>
            </w:r>
            <w:r>
              <w:rPr>
                <w:rFonts w:hint="eastAsia"/>
                <w:sz w:val="20"/>
                <w:szCs w:val="20"/>
              </w:rPr>
              <w:t xml:space="preserve"> </w:t>
            </w:r>
            <w:r>
              <w:rPr>
                <w:rFonts w:hint="eastAsia" w:eastAsia="宋体"/>
                <w:sz w:val="20"/>
                <w:szCs w:val="20"/>
              </w:rPr>
              <w:t>the ratio of SRS bandwidth in CCi to the total SRSs bandwidth over all CCs configured to perform BA</w:t>
            </w:r>
          </w:p>
          <w:p>
            <w:pPr>
              <w:pStyle w:val="139"/>
              <w:numPr>
                <w:ilvl w:val="0"/>
                <w:numId w:val="40"/>
              </w:numPr>
              <w:rPr>
                <w:sz w:val="20"/>
                <w:lang w:eastAsia="zh-CN"/>
              </w:rPr>
            </w:pPr>
            <m:oMath>
              <m:sSub>
                <m:sSubPr>
                  <m:ctrlPr>
                    <w:rPr>
                      <w:rFonts w:hint="eastAsia" w:ascii="Cambria Math" w:hAnsi="Cambria Math"/>
                      <w:sz w:val="20"/>
                      <w:lang w:eastAsia="zh-CN"/>
                    </w:rPr>
                  </m:ctrlPr>
                </m:sSubPr>
                <m:e>
                  <m:r>
                    <m:rPr>
                      <m:sty m:val="p"/>
                    </m:rPr>
                    <w:rPr>
                      <w:rFonts w:hint="eastAsia" w:ascii="Cambria Math" w:hAnsi="Cambria Math"/>
                      <w:sz w:val="20"/>
                      <w:lang w:eastAsia="zh-CN"/>
                    </w:rPr>
                    <m:t>p</m:t>
                  </m:r>
                  <m:ctrlPr>
                    <w:rPr>
                      <w:rFonts w:hint="eastAsia" w:ascii="Cambria Math" w:hAnsi="Cambria Math"/>
                      <w:sz w:val="20"/>
                      <w:lang w:eastAsia="zh-CN"/>
                    </w:rPr>
                  </m:ctrlPr>
                </m:e>
                <m:sub>
                  <m:r>
                    <m:rPr>
                      <m:sty m:val="p"/>
                    </m:rPr>
                    <w:rPr>
                      <w:rFonts w:hint="eastAsia" w:ascii="Cambria Math" w:hAnsi="Cambria Math"/>
                      <w:sz w:val="20"/>
                      <w:lang w:eastAsia="zh-CN"/>
                    </w:rPr>
                    <m:t>i</m:t>
                  </m:r>
                  <m:ctrlPr>
                    <w:rPr>
                      <w:rFonts w:hint="eastAsia" w:ascii="Cambria Math" w:hAnsi="Cambria Math"/>
                      <w:sz w:val="20"/>
                      <w:lang w:eastAsia="zh-CN"/>
                    </w:rPr>
                  </m:ctrlPr>
                </m:sub>
              </m:sSub>
              <m:r>
                <m:rPr>
                  <m:sty m:val="p"/>
                </m:rPr>
                <w:rPr>
                  <w:rFonts w:hint="eastAsia" w:ascii="Cambria Math" w:hAnsi="Cambria Math"/>
                  <w:sz w:val="20"/>
                  <w:lang w:eastAsia="zh-CN"/>
                </w:rPr>
                <m:t>=Ni/</m:t>
              </m:r>
              <m:nary>
                <m:naryPr>
                  <m:chr m:val="∑"/>
                  <m:limLoc m:val="subSup"/>
                  <m:supHide m:val="1"/>
                  <m:ctrlPr>
                    <w:rPr>
                      <w:rFonts w:hint="eastAsia" w:ascii="Cambria Math" w:hAnsi="Cambria Math"/>
                      <w:sz w:val="20"/>
                      <w:lang w:eastAsia="zh-CN"/>
                    </w:rPr>
                  </m:ctrlPr>
                </m:naryPr>
                <m:sub>
                  <m:r>
                    <m:rPr>
                      <m:sty m:val="p"/>
                    </m:rPr>
                    <w:rPr>
                      <w:rFonts w:hint="eastAsia" w:ascii="Cambria Math" w:hAnsi="Cambria Math"/>
                      <w:sz w:val="20"/>
                      <w:lang w:eastAsia="zh-CN"/>
                    </w:rPr>
                    <m:t>i∈CCs for SRS BA</m:t>
                  </m:r>
                  <m:ctrlPr>
                    <w:rPr>
                      <w:rFonts w:hint="eastAsia" w:ascii="Cambria Math" w:hAnsi="Cambria Math"/>
                      <w:sz w:val="20"/>
                      <w:lang w:eastAsia="zh-CN"/>
                    </w:rPr>
                  </m:ctrlPr>
                </m:sub>
                <m:sup>
                  <m:ctrlPr>
                    <w:rPr>
                      <w:rFonts w:hint="eastAsia" w:ascii="Cambria Math" w:hAnsi="Cambria Math"/>
                      <w:sz w:val="20"/>
                      <w:lang w:eastAsia="zh-CN"/>
                    </w:rPr>
                  </m:ctrlPr>
                </m:sup>
                <m:e>
                  <m:sSub>
                    <m:sSubPr>
                      <m:ctrlPr>
                        <w:rPr>
                          <w:rFonts w:hint="eastAsia" w:ascii="Cambria Math" w:hAnsi="Cambria Math"/>
                          <w:sz w:val="20"/>
                          <w:lang w:eastAsia="zh-CN"/>
                        </w:rPr>
                      </m:ctrlPr>
                    </m:sSubPr>
                    <m:e>
                      <m:r>
                        <m:rPr>
                          <m:sty m:val="p"/>
                        </m:rPr>
                        <w:rPr>
                          <w:rFonts w:hint="eastAsia" w:ascii="Cambria Math" w:hAnsi="Cambria Math"/>
                          <w:sz w:val="20"/>
                          <w:lang w:eastAsia="zh-CN"/>
                        </w:rPr>
                        <m:t>N</m:t>
                      </m:r>
                      <m:ctrlPr>
                        <w:rPr>
                          <w:rFonts w:hint="eastAsia" w:ascii="Cambria Math" w:hAnsi="Cambria Math"/>
                          <w:sz w:val="20"/>
                          <w:lang w:eastAsia="zh-CN"/>
                        </w:rPr>
                      </m:ctrlPr>
                    </m:e>
                    <m:sub>
                      <m:r>
                        <m:rPr>
                          <m:sty m:val="p"/>
                        </m:rPr>
                        <w:rPr>
                          <w:rFonts w:hint="eastAsia" w:ascii="Cambria Math" w:hAnsi="Cambria Math"/>
                          <w:sz w:val="20"/>
                          <w:lang w:eastAsia="zh-CN"/>
                        </w:rPr>
                        <m:t>i</m:t>
                      </m:r>
                      <m:ctrlPr>
                        <w:rPr>
                          <w:rFonts w:hint="eastAsia" w:ascii="Cambria Math" w:hAnsi="Cambria Math"/>
                          <w:sz w:val="20"/>
                          <w:lang w:eastAsia="zh-CN"/>
                        </w:rPr>
                      </m:ctrlPr>
                    </m:sub>
                  </m:sSub>
                  <m:ctrlPr>
                    <w:rPr>
                      <w:rFonts w:hint="eastAsia" w:ascii="Cambria Math" w:hAnsi="Cambria Math"/>
                      <w:sz w:val="20"/>
                      <w:lang w:eastAsia="zh-CN"/>
                    </w:rPr>
                  </m:ctrlPr>
                </m:e>
              </m:nary>
            </m:oMath>
            <w:r>
              <w:rPr>
                <w:rFonts w:hint="eastAsia"/>
                <w:sz w:val="20"/>
                <w:lang w:eastAsia="zh-CN"/>
              </w:rPr>
              <w:t xml:space="preserve">, where </w:t>
            </w:r>
            <m:oMath>
              <m:sSub>
                <m:sSubPr>
                  <m:ctrlPr>
                    <w:rPr>
                      <w:rFonts w:hint="eastAsia" w:ascii="Cambria Math" w:hAnsi="Cambria Math"/>
                      <w:sz w:val="20"/>
                      <w:lang w:eastAsia="zh-CN"/>
                    </w:rPr>
                  </m:ctrlPr>
                </m:sSubPr>
                <m:e>
                  <m:r>
                    <m:rPr>
                      <m:sty m:val="p"/>
                    </m:rPr>
                    <w:rPr>
                      <w:rFonts w:hint="eastAsia" w:ascii="Cambria Math" w:hAnsi="Cambria Math"/>
                      <w:sz w:val="20"/>
                      <w:lang w:eastAsia="zh-CN"/>
                    </w:rPr>
                    <m:t>N</m:t>
                  </m:r>
                  <m:ctrlPr>
                    <w:rPr>
                      <w:rFonts w:hint="eastAsia" w:ascii="Cambria Math" w:hAnsi="Cambria Math"/>
                      <w:sz w:val="20"/>
                      <w:lang w:eastAsia="zh-CN"/>
                    </w:rPr>
                  </m:ctrlPr>
                </m:e>
                <m:sub>
                  <m:r>
                    <m:rPr>
                      <m:sty m:val="p"/>
                    </m:rPr>
                    <w:rPr>
                      <w:rFonts w:hint="eastAsia" w:ascii="Cambria Math" w:hAnsi="Cambria Math"/>
                      <w:sz w:val="20"/>
                      <w:lang w:eastAsia="zh-CN"/>
                    </w:rPr>
                    <m:t>i</m:t>
                  </m:r>
                  <m:ctrlPr>
                    <w:rPr>
                      <w:rFonts w:hint="eastAsia" w:ascii="Cambria Math" w:hAnsi="Cambria Math"/>
                      <w:sz w:val="20"/>
                      <w:lang w:eastAsia="zh-CN"/>
                    </w:rPr>
                  </m:ctrlPr>
                </m:sub>
              </m:sSub>
            </m:oMath>
            <w:r>
              <w:rPr>
                <w:rFonts w:hint="eastAsia"/>
                <w:sz w:val="20"/>
                <w:lang w:eastAsia="zh-CN"/>
              </w:rPr>
              <w:t xml:space="preserve"> is the SRS bandwidth in CCi expressed in number of resource element</w:t>
            </w:r>
          </w:p>
          <w:p>
            <w:pPr>
              <w:pStyle w:val="139"/>
              <w:numPr>
                <w:ilvl w:val="0"/>
                <w:numId w:val="40"/>
              </w:numPr>
              <w:snapToGrid w:val="0"/>
              <w:spacing w:after="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hint="eastAsia" w:eastAsia="宋体"/>
                <w:sz w:val="20"/>
                <w:szCs w:val="20"/>
              </w:rPr>
              <w:t>LG</w:t>
            </w:r>
          </w:p>
        </w:tc>
        <w:tc>
          <w:tcPr>
            <w:tcW w:w="8221" w:type="dxa"/>
          </w:tcPr>
          <w:p>
            <w:pPr>
              <w:spacing w:before="60" w:after="180" w:line="360" w:lineRule="atLeast"/>
              <w:rPr>
                <w:rFonts w:eastAsia="Malgun Gothic"/>
                <w:sz w:val="20"/>
                <w:szCs w:val="20"/>
                <w:lang w:val="en-GB"/>
              </w:rPr>
            </w:pPr>
            <w:r>
              <w:rPr>
                <w:rFonts w:hint="eastAsia" w:eastAsia="Malgun Gothic"/>
                <w:sz w:val="20"/>
                <w:szCs w:val="20"/>
                <w:lang w:val="en-GB"/>
              </w:rPr>
              <w:t>Proposal 4: For transmission power reduction, prioritize the bandwidth aggregated SRS across carriers than the non-aggregated SRS</w:t>
            </w:r>
          </w:p>
          <w:p>
            <w:pPr>
              <w:pStyle w:val="139"/>
              <w:numPr>
                <w:ilvl w:val="0"/>
                <w:numId w:val="37"/>
              </w:numPr>
              <w:spacing w:after="0" w:line="360" w:lineRule="atLeast"/>
              <w:ind w:left="993"/>
              <w:rPr>
                <w:rFonts w:eastAsia="Malgun Gothic"/>
                <w:sz w:val="20"/>
                <w:lang w:val="en-GB"/>
              </w:rPr>
            </w:pPr>
            <w:r>
              <w:rPr>
                <w:rFonts w:hint="eastAsia" w:eastAsia="Malgun Gothic"/>
                <w:sz w:val="20"/>
                <w:lang w:val="en-GB"/>
              </w:rPr>
              <w:t>Existing rule, with aperiodic SRS having higher priority than semi-persistent and/or periodic SRS, has higher priority order than prioritization rule for the bandwidth aggregated SRS.</w:t>
            </w:r>
          </w:p>
          <w:p>
            <w:pPr>
              <w:pStyle w:val="139"/>
              <w:snapToGrid w:val="0"/>
              <w:spacing w:after="0"/>
              <w:ind w:left="0"/>
              <w:rPr>
                <w:rFonts w:ascii="Cambria Math" w:hAnsi="Cambria Math"/>
                <w:sz w:val="20"/>
                <w:lang w:eastAsia="zh-CN"/>
                <w:oMath/>
              </w:rPr>
            </w:pPr>
          </w:p>
        </w:tc>
      </w:tr>
    </w:tbl>
    <w:p>
      <w:pPr>
        <w:snapToGrid w:val="0"/>
      </w:pPr>
    </w:p>
    <w:p>
      <w:pPr>
        <w:snapToGrid w:val="0"/>
        <w:rPr>
          <w:rFonts w:eastAsia="宋体"/>
          <w:sz w:val="20"/>
          <w:szCs w:val="20"/>
        </w:rPr>
      </w:pPr>
      <w:r>
        <w:rPr>
          <w:rFonts w:eastAsia="宋体"/>
          <w:sz w:val="20"/>
          <w:szCs w:val="20"/>
        </w:rPr>
        <w:t>The following agreement has been agreed in RAN1#112</w:t>
      </w:r>
      <w:r>
        <w:rPr>
          <w:rFonts w:hint="eastAsia" w:eastAsia="宋体"/>
          <w:sz w:val="20"/>
          <w:szCs w:val="20"/>
        </w:rPr>
        <w:t>bis-e</w:t>
      </w:r>
      <w:r>
        <w:rPr>
          <w:rFonts w:eastAsia="宋体"/>
          <w:sz w:val="20"/>
          <w:szCs w:val="20"/>
        </w:rPr>
        <w:t xml:space="preserve"> meeting.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6" o:spt="75" type="#_x0000_t75" style="height:12.2pt;width:35.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7" o:spt="75" type="#_x0000_t75" style="height:12.2pt;width:35.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12"/>
              </w:numPr>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12"/>
              </w:numPr>
              <w:rPr>
                <w:sz w:val="20"/>
                <w:szCs w:val="20"/>
              </w:rPr>
            </w:pPr>
            <w:r>
              <w:rPr>
                <w:rFonts w:hint="eastAsia"/>
                <w:sz w:val="20"/>
                <w:szCs w:val="20"/>
              </w:rPr>
              <w:t>FFS further details, e.g. power scaling between aggregated carriers</w:t>
            </w:r>
          </w:p>
          <w:p>
            <w:pPr>
              <w:snapToGrid w:val="0"/>
              <w:jc w:val="both"/>
              <w:rPr>
                <w:rFonts w:eastAsia="宋体"/>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rFonts w:eastAsia="宋体"/>
          <w:bCs/>
          <w:sz w:val="20"/>
          <w:szCs w:val="20"/>
        </w:rPr>
      </w:pPr>
      <w:r>
        <w:rPr>
          <w:b/>
          <w:sz w:val="20"/>
          <w:szCs w:val="20"/>
          <w:lang w:val="en-GB"/>
        </w:rPr>
        <w:t xml:space="preserve">FL comments: </w:t>
      </w:r>
      <w:r>
        <w:rPr>
          <w:rFonts w:eastAsia="宋体"/>
          <w:bCs/>
          <w:sz w:val="20"/>
          <w:szCs w:val="20"/>
        </w:rPr>
        <w:t xml:space="preserve">Samsung and Nokia suggest to drop one carrier for SRS transmission in power limitation case. However, it is unclear how gNB know which carrier is dropped. </w:t>
      </w:r>
    </w:p>
    <w:p>
      <w:pPr>
        <w:snapToGrid w:val="0"/>
        <w:spacing w:before="120" w:after="120"/>
        <w:jc w:val="both"/>
        <w:rPr>
          <w:b/>
          <w:bCs/>
          <w:sz w:val="20"/>
          <w:szCs w:val="20"/>
        </w:rPr>
      </w:pPr>
      <w:r>
        <w:rPr>
          <w:bCs/>
          <w:sz w:val="20"/>
          <w:szCs w:val="20"/>
        </w:rPr>
        <w:t>CMCC, Huawei, Intel, xiaomi</w:t>
      </w:r>
      <w:r>
        <w:rPr>
          <w:rFonts w:eastAsia="宋体"/>
          <w:bCs/>
          <w:sz w:val="20"/>
          <w:szCs w:val="20"/>
        </w:rPr>
        <w:t xml:space="preserve"> and</w:t>
      </w:r>
      <w:r>
        <w:rPr>
          <w:bCs/>
          <w:sz w:val="20"/>
          <w:szCs w:val="20"/>
        </w:rPr>
        <w:t xml:space="preserve"> Samsung</w:t>
      </w:r>
      <w:r>
        <w:rPr>
          <w:rFonts w:eastAsia="宋体"/>
          <w:bCs/>
          <w:sz w:val="20"/>
          <w:szCs w:val="20"/>
        </w:rPr>
        <w:t xml:space="preserve"> have similar views, w</w:t>
      </w:r>
      <w:r>
        <w:rPr>
          <w:bCs/>
          <w:sz w:val="20"/>
          <w:szCs w:val="20"/>
        </w:rPr>
        <w:t>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p>
    <w:p>
      <w:pPr>
        <w:snapToGrid w:val="0"/>
        <w:spacing w:before="120" w:after="120"/>
        <w:jc w:val="both"/>
        <w:rPr>
          <w:rFonts w:eastAsia="宋体"/>
          <w:b/>
          <w:bCs/>
          <w:sz w:val="20"/>
          <w:szCs w:val="20"/>
        </w:rPr>
      </w:pPr>
      <w:r>
        <w:rPr>
          <w:bCs/>
          <w:sz w:val="20"/>
          <w:szCs w:val="20"/>
        </w:rPr>
        <w:t xml:space="preserve">LG proposes to </w:t>
      </w:r>
      <w:r>
        <w:rPr>
          <w:bCs/>
          <w:sz w:val="20"/>
          <w:szCs w:val="20"/>
          <w:lang w:val="en-GB"/>
        </w:rPr>
        <w:t>prioritize the bandwidth aggregated SRS across carriers than the non-aggregated SRS</w:t>
      </w:r>
      <w:r>
        <w:rPr>
          <w:bCs/>
          <w:sz w:val="20"/>
          <w:szCs w:val="20"/>
        </w:rPr>
        <w:t xml:space="preserve"> if both aggregated SRS and non-aggregated SRS is configured in the same symbol. </w:t>
      </w:r>
      <w:r>
        <w:rPr>
          <w:rFonts w:hint="eastAsia"/>
          <w:bCs/>
          <w:sz w:val="20"/>
          <w:szCs w:val="20"/>
        </w:rPr>
        <w:t>However, based on the existing rules in TS 38.213 section 7.5, Pcell is prioritized over Scell, Cells with PUCCH is prioritized over cells without PUCCH. If the new rules are introduced, more clarification is needed how to select the new rule or the legacy rules.</w:t>
      </w:r>
    </w:p>
    <w:p>
      <w:pPr>
        <w:snapToGrid w:val="0"/>
        <w:spacing w:before="120" w:after="120"/>
        <w:jc w:val="both"/>
        <w:rPr>
          <w:rFonts w:eastAsia="宋体"/>
          <w:b/>
          <w:bCs/>
          <w:sz w:val="20"/>
          <w:szCs w:val="20"/>
        </w:rPr>
      </w:pPr>
    </w:p>
    <w:p>
      <w:pPr>
        <w:snapToGrid w:val="0"/>
        <w:jc w:val="both"/>
        <w:rPr>
          <w:rFonts w:ascii="Times" w:hAnsi="Times" w:eastAsia="宋体" w:cs="Times"/>
          <w:sz w:val="20"/>
          <w:szCs w:val="20"/>
        </w:rPr>
      </w:pPr>
      <w:r>
        <w:rPr>
          <w:rFonts w:ascii="Times" w:hAnsi="Times" w:cs="Times"/>
          <w:b/>
          <w:bCs/>
          <w:sz w:val="20"/>
          <w:szCs w:val="20"/>
        </w:rPr>
        <w:t xml:space="preserve">Proposal </w:t>
      </w:r>
      <w:r>
        <w:rPr>
          <w:rFonts w:ascii="Times" w:hAnsi="Times" w:eastAsia="宋体" w:cs="Times"/>
          <w:b/>
          <w:bCs/>
          <w:sz w:val="20"/>
          <w:szCs w:val="20"/>
        </w:rPr>
        <w:t>9</w:t>
      </w:r>
      <w:r>
        <w:rPr>
          <w:rFonts w:ascii="Times" w:hAnsi="Times" w:cs="Times"/>
          <w:b/>
          <w:bCs/>
          <w:sz w:val="20"/>
          <w:szCs w:val="20"/>
        </w:rPr>
        <w:t>-1</w:t>
      </w:r>
    </w:p>
    <w:p>
      <w:pPr>
        <w:snapToGrid w:val="0"/>
        <w:jc w:val="both"/>
        <w:rPr>
          <w:rFonts w:ascii="Times" w:hAnsi="Times" w:eastAsia="宋体" w:cs="Times"/>
          <w:sz w:val="20"/>
          <w:szCs w:val="20"/>
        </w:rPr>
      </w:pPr>
      <w:r>
        <w:rPr>
          <w:rFonts w:ascii="Times" w:hAnsi="Times" w:eastAsia="宋体" w:cs="Times"/>
          <w:bCs/>
          <w:sz w:val="20"/>
          <w:szCs w:val="20"/>
        </w:rPr>
        <w:t>For SRS bandwidth aggregation, w</w:t>
      </w:r>
      <w:r>
        <w:rPr>
          <w:rFonts w:ascii="Times" w:hAnsi="Times" w:cs="Times"/>
          <w:bCs/>
          <w:sz w:val="20"/>
          <w:szCs w:val="20"/>
        </w:rPr>
        <w:t>hen the total UE transmit power across multiple carriers exceeds P</w:t>
      </w:r>
      <w:r>
        <w:rPr>
          <w:rFonts w:ascii="Times" w:hAnsi="Times" w:cs="Times"/>
          <w:bCs/>
          <w:sz w:val="20"/>
          <w:szCs w:val="20"/>
          <w:vertAlign w:val="subscript"/>
        </w:rPr>
        <w:t>c,max</w:t>
      </w:r>
      <w:r>
        <w:rPr>
          <w:rFonts w:ascii="Times" w:hAnsi="Times" w:cs="Times"/>
          <w:bCs/>
          <w:sz w:val="20"/>
          <w:szCs w:val="20"/>
        </w:rPr>
        <w:t>, the transmit power should be allocated proportionally to each aggregated carrier under the constraint of P</w:t>
      </w:r>
      <w:r>
        <w:rPr>
          <w:rFonts w:ascii="Times" w:hAnsi="Times" w:cs="Times"/>
          <w:bCs/>
          <w:sz w:val="20"/>
          <w:szCs w:val="20"/>
          <w:vertAlign w:val="subscript"/>
        </w:rPr>
        <w:t>c,max</w:t>
      </w:r>
      <w:r>
        <w:rPr>
          <w:rFonts w:ascii="Times" w:hAnsi="Times" w:cs="Times"/>
          <w:bCs/>
          <w:sz w:val="20"/>
          <w:szCs w:val="20"/>
        </w:rPr>
        <w:t>, i.e., the power is scaled based on the allocated PRBs for each aggregated carrier</w:t>
      </w:r>
      <w:r>
        <w:rPr>
          <w:rFonts w:ascii="Times" w:hAnsi="Times" w:eastAsia="宋体" w:cs="Times"/>
          <w:bCs/>
          <w:sz w:val="20"/>
          <w:szCs w:val="20"/>
        </w:rPr>
        <w:t xml:space="preserve">. </w:t>
      </w:r>
    </w:p>
    <w:p>
      <w:pPr>
        <w:snapToGrid w:val="0"/>
        <w:spacing w:before="120" w:after="120"/>
        <w:jc w:val="both"/>
        <w:rPr>
          <w:rFonts w:eastAsia="宋体"/>
          <w:sz w:val="20"/>
          <w:szCs w:val="20"/>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hint="eastAsia"/>
                <w:iCs/>
                <w:sz w:val="18"/>
                <w:szCs w:val="18"/>
              </w:rPr>
              <w:t>Qualcomm</w:t>
            </w:r>
          </w:p>
        </w:tc>
        <w:tc>
          <w:tcPr>
            <w:tcW w:w="7508" w:type="dxa"/>
            <w:vAlign w:val="center"/>
          </w:tcPr>
          <w:p>
            <w:pPr>
              <w:snapToGrid w:val="0"/>
              <w:rPr>
                <w:iCs/>
                <w:sz w:val="18"/>
                <w:szCs w:val="18"/>
                <w:lang w:val="en-GB"/>
              </w:rPr>
            </w:pPr>
            <w:r>
              <w:rPr>
                <w:rFonts w:hint="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iCs/>
                <w:sz w:val="18"/>
                <w:szCs w:val="18"/>
              </w:rPr>
            </w:pPr>
            <w:r>
              <w:rPr>
                <w:rFonts w:hint="eastAsia" w:eastAsiaTheme="minorEastAsia"/>
                <w:iCs/>
                <w:sz w:val="18"/>
                <w:szCs w:val="18"/>
              </w:rPr>
              <w:t>Huawei, HiSilicon</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Support.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iCs/>
                <w:sz w:val="18"/>
                <w:szCs w:val="18"/>
              </w:rPr>
            </w:pPr>
            <w:r>
              <w:rPr>
                <w:rFonts w:hint="eastAsia"/>
                <w:iCs/>
                <w:sz w:val="18"/>
                <w:szCs w:val="18"/>
              </w:rPr>
              <w:t>CATT</w:t>
            </w:r>
          </w:p>
        </w:tc>
        <w:tc>
          <w:tcPr>
            <w:tcW w:w="7508" w:type="dxa"/>
          </w:tcPr>
          <w:p>
            <w:pPr>
              <w:snapToGrid w:val="0"/>
              <w:rPr>
                <w:iCs/>
                <w:sz w:val="18"/>
                <w:szCs w:val="18"/>
                <w:lang w:val="en-GB"/>
              </w:rPr>
            </w:pPr>
            <w:r>
              <w:rPr>
                <w:rFonts w:hint="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r>
              <w:rPr>
                <w:rFonts w:hint="eastAsia" w:eastAsiaTheme="minorEastAsia"/>
                <w:iCs/>
                <w:sz w:val="18"/>
                <w:szCs w:val="18"/>
              </w:rPr>
              <w:t xml:space="preserve">Samsung </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 xml:space="preserve">According to the proposal 9-1, the UE will still transmit SRS on the aggregated carriers in power limitation case, which increases the power consumption of the UE but does not improve the positioning accuracy. </w:t>
            </w:r>
          </w:p>
          <w:p>
            <w:pPr>
              <w:snapToGrid w:val="0"/>
              <w:rPr>
                <w:iCs/>
                <w:sz w:val="18"/>
                <w:szCs w:val="18"/>
                <w:lang w:val="en-GB"/>
              </w:rPr>
            </w:pPr>
            <w:r>
              <w:rPr>
                <w:rFonts w:hint="eastAsia" w:eastAsiaTheme="minorEastAsia"/>
                <w:iCs/>
                <w:sz w:val="18"/>
                <w:szCs w:val="18"/>
                <w:lang w:val="en-GB"/>
              </w:rPr>
              <w:t>To avoid this case, drop part of carrier for SRS transmission can boost the transmission power, thus the gNB can receive SRS properly. When UE dropped part of the carriers for SRS transmission, the gNB can detect SRS by blind detection (energy detection). This behavior can be implemented at UE for SSB detection, so gNB must also have this capability.  Notice that the same issues will be occur when UE drop all the aggregated SRS when one of these SRS collide with other SRS with higher priority in RRC INACTIVE state.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hint="eastAsia" w:eastAsia="Malgun Gothic"/>
                <w:iCs/>
                <w:sz w:val="18"/>
                <w:szCs w:val="18"/>
                <w:lang w:eastAsia="ko-KR"/>
              </w:rPr>
              <w:t>LGE</w:t>
            </w:r>
          </w:p>
        </w:tc>
        <w:tc>
          <w:tcPr>
            <w:tcW w:w="7508" w:type="dxa"/>
          </w:tcPr>
          <w:p>
            <w:pPr>
              <w:snapToGrid w:val="0"/>
              <w:rPr>
                <w:rFonts w:eastAsiaTheme="minorEastAsia"/>
                <w:iCs/>
                <w:sz w:val="18"/>
                <w:szCs w:val="18"/>
                <w:lang w:val="en-GB"/>
              </w:rPr>
            </w:pPr>
            <w:r>
              <w:rPr>
                <w:rFonts w:hint="eastAsia" w:eastAsia="Malgun Gothic"/>
                <w:iCs/>
                <w:sz w:val="18"/>
                <w:szCs w:val="18"/>
                <w:lang w:val="en-GB" w:eastAsia="ko-KR"/>
              </w:rPr>
              <w:t xml:space="preserve">Generally fine, but the case where another SRS that is transmitted outside of the aggregated carriers and shares transmission occasion should be considered.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18"/>
                <w:szCs w:val="18"/>
                <w:lang w:eastAsia="ko-KR"/>
              </w:rPr>
            </w:pPr>
          </w:p>
        </w:tc>
        <w:tc>
          <w:tcPr>
            <w:tcW w:w="7508" w:type="dxa"/>
          </w:tcPr>
          <w:p>
            <w:pPr>
              <w:snapToGrid w:val="0"/>
              <w:rPr>
                <w:rFonts w:eastAsia="Malgun Gothic"/>
                <w:iCs/>
                <w:sz w:val="18"/>
                <w:szCs w:val="18"/>
                <w:lang w:val="en-GB" w:eastAsia="ko-KR"/>
              </w:rPr>
            </w:pPr>
          </w:p>
        </w:tc>
      </w:tr>
    </w:tbl>
    <w:p>
      <w:pPr>
        <w:tabs>
          <w:tab w:val="left" w:pos="1770"/>
        </w:tabs>
        <w:snapToGrid w:val="0"/>
        <w:rPr>
          <w:sz w:val="20"/>
          <w:szCs w:val="20"/>
          <w:lang w:val="en-GB"/>
        </w:rPr>
      </w:pPr>
      <w:r>
        <w:rPr>
          <w:sz w:val="20"/>
          <w:szCs w:val="20"/>
          <w:lang w:val="en-GB"/>
        </w:rPr>
        <w:tab/>
      </w: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PRS/SRS aggregation link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rFonts w:hint="eastAsia" w:eastAsia="宋体"/>
                <w:sz w:val="20"/>
                <w:szCs w:val="20"/>
              </w:rPr>
              <w:t>v</w:t>
            </w:r>
            <w:r>
              <w:rPr>
                <w:rFonts w:hint="eastAsia"/>
                <w:sz w:val="20"/>
                <w:szCs w:val="20"/>
                <w:lang w:val="en-GB"/>
              </w:rPr>
              <w:t>ivo</w:t>
            </w:r>
          </w:p>
        </w:tc>
        <w:tc>
          <w:tcPr>
            <w:tcW w:w="8221" w:type="dxa"/>
          </w:tcPr>
          <w:p>
            <w:pPr>
              <w:widowControl w:val="0"/>
              <w:snapToGrid w:val="0"/>
              <w:ind w:left="45"/>
              <w:jc w:val="both"/>
              <w:rPr>
                <w:rFonts w:eastAsia="宋体"/>
                <w:color w:val="000000"/>
                <w:kern w:val="2"/>
                <w:sz w:val="20"/>
                <w:szCs w:val="20"/>
              </w:rPr>
            </w:pPr>
            <w:bookmarkStart w:id="70" w:name="_Hlk131694182"/>
            <w:r>
              <w:rPr>
                <w:rFonts w:hint="eastAsia" w:eastAsia="宋体"/>
                <w:color w:val="000000"/>
                <w:kern w:val="2"/>
                <w:sz w:val="20"/>
                <w:szCs w:val="20"/>
              </w:rPr>
              <w:t>Proposal 3:</w:t>
            </w:r>
          </w:p>
          <w:p>
            <w:pPr>
              <w:numPr>
                <w:ilvl w:val="0"/>
                <w:numId w:val="7"/>
              </w:numPr>
              <w:snapToGrid w:val="0"/>
              <w:spacing w:after="120"/>
              <w:jc w:val="both"/>
              <w:rPr>
                <w:rFonts w:eastAsia="宋体"/>
                <w:sz w:val="20"/>
                <w:szCs w:val="20"/>
              </w:rPr>
            </w:pPr>
            <w:r>
              <w:rPr>
                <w:rFonts w:hint="eastAsia" w:eastAsia="宋体"/>
                <w:sz w:val="20"/>
                <w:szCs w:val="20"/>
              </w:rPr>
              <w:t>For PRS bandwidth aggregation across PFLs, the same resource ID can be aggregated across the linked PRS resource sets</w:t>
            </w:r>
          </w:p>
          <w:bookmarkEnd w:id="70"/>
          <w:p>
            <w:pPr>
              <w:snapToGrid w:val="0"/>
              <w:jc w:val="both"/>
              <w:rPr>
                <w:rFonts w:eastAsia="宋体"/>
                <w:sz w:val="20"/>
                <w:szCs w:val="20"/>
              </w:rPr>
            </w:pPr>
            <w:r>
              <w:rPr>
                <w:rFonts w:hint="eastAsia" w:eastAsia="宋体"/>
                <w:sz w:val="20"/>
                <w:szCs w:val="20"/>
              </w:rPr>
              <w:t>Proposal 7</w:t>
            </w:r>
          </w:p>
          <w:p>
            <w:pPr>
              <w:numPr>
                <w:ilvl w:val="0"/>
                <w:numId w:val="7"/>
              </w:numPr>
              <w:snapToGrid w:val="0"/>
              <w:spacing w:after="120"/>
              <w:jc w:val="both"/>
              <w:rPr>
                <w:rFonts w:eastAsia="宋体"/>
                <w:sz w:val="20"/>
                <w:szCs w:val="20"/>
              </w:rPr>
            </w:pPr>
            <w:r>
              <w:rPr>
                <w:rFonts w:hint="eastAsia" w:eastAsia="宋体"/>
                <w:sz w:val="20"/>
                <w:szCs w:val="20"/>
              </w:rPr>
              <w:t>For SRS bandwidth aggregation across two or three carriers, the same resource ID can be aggregated across the linked SRS resource sets.</w:t>
            </w:r>
          </w:p>
          <w:p>
            <w:pPr>
              <w:snapToGrid w:val="0"/>
              <w:spacing w:after="120"/>
              <w:jc w:val="both"/>
              <w:rPr>
                <w:rFonts w:eastAsia="宋体"/>
                <w:sz w:val="20"/>
                <w:szCs w:val="20"/>
              </w:rPr>
            </w:pPr>
            <w:r>
              <w:rPr>
                <w:rFonts w:hint="eastAsia" w:eastAsia="宋体"/>
                <w:sz w:val="20"/>
                <w:szCs w:val="20"/>
              </w:rPr>
              <w:t>Proposal 8:</w:t>
            </w:r>
          </w:p>
          <w:p>
            <w:pPr>
              <w:numPr>
                <w:ilvl w:val="0"/>
                <w:numId w:val="7"/>
              </w:numPr>
              <w:snapToGrid w:val="0"/>
              <w:spacing w:after="120"/>
              <w:jc w:val="both"/>
              <w:rPr>
                <w:rFonts w:eastAsia="宋体"/>
                <w:sz w:val="20"/>
                <w:szCs w:val="20"/>
              </w:rPr>
            </w:pPr>
            <w:r>
              <w:rPr>
                <w:rFonts w:hint="eastAsia" w:eastAsia="宋体"/>
                <w:sz w:val="20"/>
                <w:szCs w:val="20"/>
              </w:rPr>
              <w:t>The Positioning SRS resource set configuration can include</w:t>
            </w:r>
          </w:p>
          <w:p>
            <w:pPr>
              <w:numPr>
                <w:ilvl w:val="1"/>
                <w:numId w:val="7"/>
              </w:numPr>
              <w:snapToGrid w:val="0"/>
              <w:spacing w:after="120"/>
              <w:jc w:val="both"/>
              <w:rPr>
                <w:rFonts w:eastAsia="宋体"/>
                <w:sz w:val="20"/>
                <w:szCs w:val="20"/>
              </w:rPr>
            </w:pPr>
            <w:r>
              <w:rPr>
                <w:rFonts w:hint="eastAsia" w:eastAsia="宋体"/>
                <w:sz w:val="20"/>
                <w:szCs w:val="20"/>
              </w:rPr>
              <w:t>Cell group information (e.g., indication of co-scheduling cells reusing the agreement in the agenda of multi-cell PUSCH/PDSCH scheduling)</w:t>
            </w:r>
          </w:p>
          <w:p>
            <w:pPr>
              <w:numPr>
                <w:ilvl w:val="1"/>
                <w:numId w:val="7"/>
              </w:numPr>
              <w:snapToGrid w:val="0"/>
              <w:spacing w:after="120"/>
              <w:jc w:val="both"/>
              <w:rPr>
                <w:rFonts w:eastAsia="宋体"/>
                <w:sz w:val="20"/>
                <w:szCs w:val="20"/>
              </w:rPr>
            </w:pPr>
            <w:r>
              <w:rPr>
                <w:rFonts w:hint="eastAsia" w:eastAsia="宋体"/>
                <w:sz w:val="20"/>
                <w:szCs w:val="20"/>
              </w:rPr>
              <w:t>Multiple serving cell indices</w:t>
            </w:r>
          </w:p>
          <w:p>
            <w:pPr>
              <w:numPr>
                <w:ilvl w:val="2"/>
                <w:numId w:val="7"/>
              </w:numPr>
              <w:snapToGrid w:val="0"/>
              <w:spacing w:after="120"/>
              <w:jc w:val="both"/>
              <w:rPr>
                <w:rFonts w:eastAsia="宋体"/>
                <w:sz w:val="20"/>
                <w:szCs w:val="20"/>
              </w:rPr>
            </w:pPr>
            <w:r>
              <w:rPr>
                <w:rFonts w:hint="eastAsia" w:eastAsia="宋体"/>
                <w:sz w:val="20"/>
                <w:szCs w:val="20"/>
              </w:rPr>
              <w:t>The positioning SRS resource set ID under linked cells should also be included if the SRS resource set IDs for aggregation are different.</w:t>
            </w:r>
          </w:p>
          <w:p>
            <w:pPr>
              <w:snapToGrid w:val="0"/>
              <w:spacing w:after="120"/>
              <w:jc w:val="both"/>
              <w:rPr>
                <w:rFonts w:eastAsia="宋体"/>
                <w:sz w:val="20"/>
                <w:szCs w:val="20"/>
              </w:rPr>
            </w:pPr>
            <w:r>
              <w:rPr>
                <w:rFonts w:hint="eastAsia" w:eastAsia="宋体"/>
                <w:sz w:val="20"/>
                <w:szCs w:val="20"/>
              </w:rPr>
              <w:t>Proposal 9:</w:t>
            </w:r>
          </w:p>
          <w:p>
            <w:pPr>
              <w:numPr>
                <w:ilvl w:val="0"/>
                <w:numId w:val="7"/>
              </w:numPr>
              <w:snapToGrid w:val="0"/>
              <w:spacing w:after="120"/>
              <w:jc w:val="both"/>
              <w:rPr>
                <w:rFonts w:eastAsia="宋体"/>
                <w:sz w:val="20"/>
                <w:szCs w:val="20"/>
              </w:rPr>
            </w:pPr>
            <w:r>
              <w:rPr>
                <w:rFonts w:hint="eastAsia" w:eastAsia="宋体"/>
                <w:sz w:val="20"/>
                <w:szCs w:val="20"/>
              </w:rPr>
              <w:t>To discuss whether the multiple cells for bandwidth aggregation can be updated for periodic SRS</w:t>
            </w:r>
          </w:p>
          <w:p>
            <w:pPr>
              <w:numPr>
                <w:ilvl w:val="1"/>
                <w:numId w:val="7"/>
              </w:numPr>
              <w:snapToGrid w:val="0"/>
              <w:spacing w:after="120"/>
              <w:jc w:val="both"/>
              <w:rPr>
                <w:rFonts w:eastAsia="宋体"/>
                <w:sz w:val="20"/>
                <w:szCs w:val="20"/>
              </w:rPr>
            </w:pPr>
            <w:r>
              <w:rPr>
                <w:rFonts w:hint="eastAsia" w:eastAsia="宋体"/>
                <w:sz w:val="20"/>
                <w:szCs w:val="20"/>
              </w:rPr>
              <w:t>If it is supported, the MAC CE can be used to update the association cells for periodic SRS transmission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rFonts w:hint="eastAsia"/>
                <w:sz w:val="20"/>
                <w:szCs w:val="20"/>
                <w:lang w:val="en-GB"/>
              </w:rPr>
              <w:t>Ericsson</w:t>
            </w:r>
          </w:p>
        </w:tc>
        <w:tc>
          <w:tcPr>
            <w:tcW w:w="8221" w:type="dxa"/>
          </w:tcPr>
          <w:p>
            <w:pPr>
              <w:snapToGrid w:val="0"/>
              <w:rPr>
                <w:rFonts w:eastAsia="宋体"/>
                <w:sz w:val="20"/>
                <w:szCs w:val="20"/>
              </w:rPr>
            </w:pPr>
            <w:r>
              <w:rPr>
                <w:rFonts w:hint="eastAsia" w:eastAsia="宋体"/>
                <w:sz w:val="20"/>
                <w:szCs w:val="20"/>
              </w:rPr>
              <w:t>Proposal 4</w:t>
            </w:r>
          </w:p>
          <w:p>
            <w:pPr>
              <w:pStyle w:val="152"/>
              <w:tabs>
                <w:tab w:val="left" w:pos="5557"/>
              </w:tabs>
              <w:snapToGrid w:val="0"/>
              <w:ind w:left="1304"/>
              <w:rPr>
                <w:rFonts w:ascii="Times New Roman" w:hAnsi="Times New Roman" w:cs="Times New Roman"/>
                <w:b w:val="0"/>
                <w:bCs w:val="0"/>
                <w:sz w:val="20"/>
                <w:szCs w:val="20"/>
              </w:rPr>
            </w:pPr>
            <w:bookmarkStart w:id="71" w:name="_Toc142658037"/>
            <w:r>
              <w:rPr>
                <w:rFonts w:hint="eastAsia" w:ascii="Times New Roman" w:hAnsi="Times New Roman" w:cs="Times New Roman"/>
                <w:b w:val="0"/>
                <w:bCs w:val="0"/>
                <w:sz w:val="20"/>
                <w:szCs w:val="20"/>
              </w:rPr>
              <w:t>LMF indicates to the UE which PRS resources (i.e., on a per TRP basis and per PRS resource set basis) that can be aggregated by including an aggregation ID as part of DL PRS resource configuration</w:t>
            </w:r>
            <w:bookmarkEnd w:id="71"/>
          </w:p>
          <w:p>
            <w:pPr>
              <w:pStyle w:val="152"/>
              <w:numPr>
                <w:ilvl w:val="0"/>
                <w:numId w:val="41"/>
              </w:numPr>
              <w:snapToGrid w:val="0"/>
              <w:rPr>
                <w:rFonts w:ascii="Times New Roman" w:hAnsi="Times New Roman" w:cs="Times New Roman"/>
                <w:b w:val="0"/>
                <w:bCs w:val="0"/>
                <w:sz w:val="20"/>
                <w:szCs w:val="20"/>
              </w:rPr>
            </w:pPr>
            <w:bookmarkStart w:id="72" w:name="_Toc142658038"/>
            <w:r>
              <w:rPr>
                <w:rFonts w:hint="eastAsia" w:ascii="Times New Roman" w:hAnsi="Times New Roman" w:cs="Times New Roman"/>
                <w:b w:val="0"/>
                <w:bCs w:val="0"/>
                <w:sz w:val="20"/>
                <w:szCs w:val="20"/>
              </w:rPr>
              <w:t>PRS resources Two or more DL PRS resource sets configured with the same aggregation ID can be aggregated and coherently/jointly processed by the UE</w:t>
            </w:r>
            <w:bookmarkEnd w:id="72"/>
          </w:p>
          <w:p>
            <w:pPr>
              <w:pStyle w:val="152"/>
              <w:numPr>
                <w:ilvl w:val="0"/>
                <w:numId w:val="41"/>
              </w:numPr>
              <w:snapToGrid w:val="0"/>
              <w:rPr>
                <w:rFonts w:ascii="Times New Roman" w:hAnsi="Times New Roman" w:cs="Times New Roman"/>
                <w:b w:val="0"/>
                <w:bCs w:val="0"/>
                <w:sz w:val="20"/>
                <w:szCs w:val="20"/>
              </w:rPr>
            </w:pPr>
            <w:bookmarkStart w:id="73" w:name="_Toc142658039"/>
            <w:r>
              <w:rPr>
                <w:rFonts w:hint="eastAsia" w:ascii="Times New Roman" w:hAnsi="Times New Roman" w:cs="Times New Roman"/>
                <w:b w:val="0"/>
                <w:bCs w:val="0"/>
                <w:sz w:val="20"/>
                <w:szCs w:val="20"/>
              </w:rPr>
              <w:t>PRS resources in PRS resource sets that do not have an aggregation ID is not allowed to be aggregated</w:t>
            </w:r>
            <w:bookmarkEnd w:id="73"/>
          </w:p>
          <w:p>
            <w:pPr>
              <w:snapToGrid w:val="0"/>
              <w:rPr>
                <w:rFonts w:eastAsia="宋体"/>
                <w:sz w:val="20"/>
                <w:szCs w:val="20"/>
              </w:rPr>
            </w:pPr>
          </w:p>
          <w:p>
            <w:pPr>
              <w:snapToGrid w:val="0"/>
              <w:rPr>
                <w:rFonts w:eastAsia="宋体"/>
                <w:sz w:val="20"/>
                <w:szCs w:val="20"/>
              </w:rPr>
            </w:pPr>
            <w:r>
              <w:rPr>
                <w:rFonts w:hint="eastAsia" w:eastAsia="宋体"/>
                <w:sz w:val="20"/>
                <w:szCs w:val="20"/>
              </w:rPr>
              <w:t>Proposal 5</w:t>
            </w:r>
          </w:p>
          <w:p>
            <w:pPr>
              <w:pStyle w:val="152"/>
              <w:tabs>
                <w:tab w:val="left" w:pos="5557"/>
              </w:tabs>
              <w:snapToGrid w:val="0"/>
              <w:ind w:left="1304"/>
              <w:rPr>
                <w:rFonts w:ascii="Times New Roman" w:hAnsi="Times New Roman" w:cs="Times New Roman"/>
                <w:b w:val="0"/>
                <w:bCs w:val="0"/>
                <w:sz w:val="20"/>
                <w:szCs w:val="20"/>
              </w:rPr>
            </w:pPr>
            <w:bookmarkStart w:id="74" w:name="_Toc142658040"/>
            <w:r>
              <w:rPr>
                <w:rFonts w:hint="eastAsia" w:ascii="Times New Roman" w:hAnsi="Times New Roman" w:cs="Times New Roman"/>
                <w:b w:val="0"/>
                <w:bCs w:val="0"/>
                <w:sz w:val="20"/>
                <w:szCs w:val="20"/>
              </w:rPr>
              <w:t>NG-RAN node indicates to the LMF which PRS resources (i.e., on a per TRP basis and per PRS resource set basis) from which TRPs can be aggregated by including an aggregation ID as part of ‘TRP INFORMATION RESPONSE’</w:t>
            </w:r>
            <w:bookmarkEnd w:id="74"/>
          </w:p>
          <w:p>
            <w:pPr>
              <w:pStyle w:val="152"/>
              <w:numPr>
                <w:ilvl w:val="0"/>
                <w:numId w:val="41"/>
              </w:numPr>
              <w:snapToGrid w:val="0"/>
              <w:rPr>
                <w:rFonts w:ascii="Times New Roman" w:hAnsi="Times New Roman" w:cs="Times New Roman"/>
                <w:b w:val="0"/>
                <w:bCs w:val="0"/>
                <w:sz w:val="20"/>
                <w:szCs w:val="20"/>
              </w:rPr>
            </w:pPr>
            <w:bookmarkStart w:id="75" w:name="_Toc142658041"/>
            <w:r>
              <w:rPr>
                <w:rFonts w:hint="eastAsia" w:ascii="Times New Roman" w:hAnsi="Times New Roman" w:cs="Times New Roman"/>
                <w:b w:val="0"/>
                <w:bCs w:val="0"/>
                <w:sz w:val="20"/>
                <w:szCs w:val="20"/>
              </w:rPr>
              <w:t>Two or more DL PRS resource sets configured with the same aggregation ID can be aggregated and coherently/jointly processed</w:t>
            </w:r>
            <w:bookmarkEnd w:id="75"/>
          </w:p>
          <w:p>
            <w:pPr>
              <w:pStyle w:val="152"/>
              <w:numPr>
                <w:ilvl w:val="0"/>
                <w:numId w:val="41"/>
              </w:numPr>
              <w:snapToGrid w:val="0"/>
              <w:rPr>
                <w:rFonts w:ascii="Times New Roman" w:hAnsi="Times New Roman" w:cs="Times New Roman"/>
                <w:b w:val="0"/>
                <w:bCs w:val="0"/>
                <w:sz w:val="20"/>
                <w:szCs w:val="20"/>
              </w:rPr>
            </w:pPr>
            <w:bookmarkStart w:id="76" w:name="_Toc142658042"/>
            <w:r>
              <w:rPr>
                <w:rFonts w:hint="eastAsia" w:ascii="Times New Roman" w:hAnsi="Times New Roman" w:cs="Times New Roman"/>
                <w:b w:val="0"/>
                <w:bCs w:val="0"/>
                <w:sz w:val="20"/>
                <w:szCs w:val="20"/>
              </w:rPr>
              <w:t>a PRS resource set that does not have an aggregation ID is not allowed to be aggregated</w:t>
            </w:r>
            <w:bookmarkEnd w:id="76"/>
            <w:r>
              <w:rPr>
                <w:rFonts w:hint="eastAsia" w:ascii="Times New Roman" w:hAnsi="Times New Roman" w:cs="Times New Roman"/>
                <w:b w:val="0"/>
                <w:bCs w:val="0"/>
                <w:sz w:val="20"/>
                <w:szCs w:val="20"/>
              </w:rPr>
              <w:t xml:space="preserve"> </w:t>
            </w:r>
          </w:p>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rFonts w:hint="eastAsia"/>
                <w:sz w:val="20"/>
                <w:szCs w:val="20"/>
                <w:lang w:val="en-GB"/>
              </w:rPr>
              <w:t>Apple</w:t>
            </w:r>
          </w:p>
        </w:tc>
        <w:tc>
          <w:tcPr>
            <w:tcW w:w="8221" w:type="dxa"/>
          </w:tcPr>
          <w:p>
            <w:pPr>
              <w:snapToGrid w:val="0"/>
              <w:rPr>
                <w:sz w:val="20"/>
                <w:szCs w:val="20"/>
              </w:rPr>
            </w:pPr>
            <w:r>
              <w:rPr>
                <w:rFonts w:hint="eastAsia" w:eastAsia="宋体"/>
                <w:sz w:val="20"/>
                <w:szCs w:val="20"/>
              </w:rPr>
              <w:t>Proposal 9: the SRS resource sets can be linked by the creation of an S</w:t>
            </w:r>
            <w:r>
              <w:rPr>
                <w:rFonts w:hint="eastAsia"/>
                <w:sz w:val="20"/>
                <w:szCs w:val="20"/>
              </w:rPr>
              <w:t>RSPosResourceSetGroup that contains the SRSPosResourceSets for each CC.</w:t>
            </w:r>
          </w:p>
          <w:p>
            <w:pPr>
              <w:snapToGrid w:val="0"/>
              <w:ind w:firstLine="200" w:firstLineChars="10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hint="eastAsia" w:eastAsia="宋体"/>
                <w:sz w:val="20"/>
                <w:szCs w:val="20"/>
              </w:rPr>
              <w:t>Lenovo</w:t>
            </w:r>
          </w:p>
        </w:tc>
        <w:tc>
          <w:tcPr>
            <w:tcW w:w="8221" w:type="dxa"/>
          </w:tcPr>
          <w:p>
            <w:pPr>
              <w:snapToGrid w:val="0"/>
              <w:spacing w:before="240"/>
              <w:jc w:val="both"/>
              <w:rPr>
                <w:rFonts w:eastAsia="宋体"/>
                <w:sz w:val="20"/>
                <w:szCs w:val="20"/>
              </w:rPr>
            </w:pPr>
            <w:r>
              <w:rPr>
                <w:rFonts w:hint="eastAsia"/>
                <w:sz w:val="20"/>
                <w:szCs w:val="20"/>
              </w:rPr>
              <w:t xml:space="preserve">Proposal 1: Support the use of LPP Provide Assistance Data message to configure the DL-PRS resources to be aggregated for joint measurement.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rFonts w:hint="eastAsia"/>
                <w:sz w:val="20"/>
                <w:szCs w:val="20"/>
                <w:lang w:val="en-GB"/>
              </w:rPr>
              <w:t>xiaomi</w:t>
            </w:r>
          </w:p>
        </w:tc>
        <w:tc>
          <w:tcPr>
            <w:tcW w:w="8221" w:type="dxa"/>
          </w:tcPr>
          <w:p>
            <w:pPr>
              <w:pStyle w:val="114"/>
              <w:snapToGrid w:val="0"/>
              <w:spacing w:before="0" w:after="120"/>
              <w:rPr>
                <w:sz w:val="20"/>
                <w:szCs w:val="20"/>
              </w:rPr>
            </w:pPr>
            <w:bookmarkStart w:id="77" w:name="OLE_LINK7"/>
            <w:r>
              <w:rPr>
                <w:rFonts w:hint="eastAsia"/>
                <w:sz w:val="20"/>
                <w:szCs w:val="20"/>
              </w:rPr>
              <w:t>Proposal 1: PRS resources with same resource ID across linked PRS resource set are linked for aggregated PRS.</w:t>
            </w:r>
          </w:p>
          <w:p>
            <w:pPr>
              <w:pStyle w:val="114"/>
              <w:snapToGrid w:val="0"/>
              <w:spacing w:before="0" w:after="120"/>
              <w:rPr>
                <w:sz w:val="20"/>
                <w:szCs w:val="20"/>
              </w:rPr>
            </w:pPr>
            <w:r>
              <w:rPr>
                <w:rFonts w:hint="eastAsia"/>
                <w:sz w:val="20"/>
                <w:szCs w:val="20"/>
              </w:rPr>
              <w:t>Proposal 7: SRS resources with same resource ID across linked SRS resource set are linked for aggregated SRS</w:t>
            </w:r>
            <w:bookmarkEnd w:id="77"/>
            <w:r>
              <w:rPr>
                <w:rFonts w:hint="eastAsia"/>
                <w:sz w:val="20"/>
                <w:szCs w:val="20"/>
              </w:rPr>
              <w:t>.</w:t>
            </w:r>
          </w:p>
          <w:p>
            <w:pPr>
              <w:pStyle w:val="114"/>
              <w:snapToGrid w:val="0"/>
              <w:spacing w:before="0" w:after="120"/>
              <w:rPr>
                <w:sz w:val="20"/>
                <w:szCs w:val="20"/>
              </w:rPr>
            </w:pPr>
            <w:r>
              <w:rPr>
                <w:rFonts w:hint="eastAsia"/>
                <w:sz w:val="20"/>
                <w:szCs w:val="20"/>
              </w:rPr>
              <w:t xml:space="preserve">Proposal 9: SRS carrier aggregation indication can be supported by enhanced LMF measurement ID to associate with multiple SRS configuration respective to different carrier, or by a link ID configured to SRS across the aggregated carriers. </w:t>
            </w:r>
          </w:p>
          <w:p>
            <w:pPr>
              <w:pStyle w:val="114"/>
              <w:snapToGrid w:val="0"/>
              <w:spacing w:before="0" w:after="120"/>
              <w:rPr>
                <w:sz w:val="20"/>
                <w:szCs w:val="20"/>
              </w:rPr>
            </w:pPr>
            <w:r>
              <w:rPr>
                <w:rFonts w:hint="eastAsia"/>
                <w:sz w:val="20"/>
                <w:szCs w:val="20"/>
              </w:rPr>
              <w:t xml:space="preserve">Proposal 9: SRS carrier aggregation indication can be supported by enhanced LMF measurement ID to associate with multiple SRS configuration respective to different carrier, or by a link ID configured to SRS across the aggregated carriers. </w:t>
            </w: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eastAsia="Batang"/>
                <w:sz w:val="20"/>
                <w:szCs w:val="20"/>
                <w:lang w:bidi="ar"/>
              </w:rPr>
              <w:t>For PRS bandwidth aggregation across PFLs, support</w:t>
            </w:r>
          </w:p>
          <w:p>
            <w:pPr>
              <w:numPr>
                <w:ilvl w:val="0"/>
                <w:numId w:val="42"/>
              </w:numPr>
              <w:tabs>
                <w:tab w:val="left" w:pos="720"/>
              </w:tabs>
              <w:snapToGrid w:val="0"/>
              <w:rPr>
                <w:rFonts w:eastAsia="Batang"/>
                <w:bCs/>
                <w:sz w:val="20"/>
                <w:szCs w:val="20"/>
                <w:lang w:eastAsia="en-US"/>
              </w:rPr>
            </w:pPr>
            <w:r>
              <w:rPr>
                <w:rFonts w:hint="eastAsia" w:eastAsia="Batang"/>
                <w:bCs/>
                <w:sz w:val="20"/>
                <w:szCs w:val="20"/>
                <w:lang w:eastAsia="en-US"/>
              </w:rPr>
              <w:t>Option 2: Per TRP basis and per PRS resource set basis.</w:t>
            </w:r>
          </w:p>
          <w:p>
            <w:pPr>
              <w:numPr>
                <w:ilvl w:val="1"/>
                <w:numId w:val="42"/>
              </w:numPr>
              <w:tabs>
                <w:tab w:val="left" w:pos="1440"/>
              </w:tabs>
              <w:snapToGrid w:val="0"/>
              <w:rPr>
                <w:rFonts w:eastAsia="Batang"/>
                <w:bCs/>
                <w:sz w:val="20"/>
                <w:szCs w:val="20"/>
                <w:lang w:eastAsia="en-US"/>
              </w:rPr>
            </w:pPr>
            <w:r>
              <w:rPr>
                <w:rFonts w:hint="eastAsia" w:eastAsia="Batang"/>
                <w:bCs/>
                <w:sz w:val="20"/>
                <w:szCs w:val="20"/>
                <w:lang w:eastAsia="en-US"/>
              </w:rPr>
              <w:t>For each TRP, support new signaling to indicate which PRS resource sets across PFLs are linked.</w:t>
            </w:r>
          </w:p>
          <w:p>
            <w:pPr>
              <w:numPr>
                <w:ilvl w:val="1"/>
                <w:numId w:val="42"/>
              </w:numPr>
              <w:tabs>
                <w:tab w:val="left" w:pos="1440"/>
              </w:tabs>
              <w:snapToGrid w:val="0"/>
              <w:rPr>
                <w:rFonts w:eastAsia="Batang"/>
                <w:bCs/>
                <w:sz w:val="20"/>
                <w:szCs w:val="20"/>
                <w:lang w:eastAsia="en-US"/>
              </w:rPr>
            </w:pPr>
            <w:r>
              <w:rPr>
                <w:rFonts w:hint="eastAsia"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p>
            <w:pPr>
              <w:pStyle w:val="139"/>
              <w:snapToGrid w:val="0"/>
              <w:spacing w:after="0"/>
              <w:ind w:left="0"/>
              <w:jc w:val="both"/>
              <w:rPr>
                <w:sz w:val="20"/>
              </w:rPr>
            </w:pPr>
          </w:p>
        </w:tc>
      </w:tr>
    </w:tbl>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For SRS bandwidth aggregation across two or three carriers, support</w:t>
            </w:r>
          </w:p>
          <w:p>
            <w:pPr>
              <w:pStyle w:val="139"/>
              <w:numPr>
                <w:ilvl w:val="0"/>
                <w:numId w:val="43"/>
              </w:numPr>
              <w:snapToGrid w:val="0"/>
              <w:spacing w:after="0"/>
              <w:ind w:hanging="357"/>
              <w:jc w:val="both"/>
              <w:rPr>
                <w:bCs/>
                <w:sz w:val="20"/>
              </w:rPr>
            </w:pPr>
            <w:r>
              <w:rPr>
                <w:rFonts w:hint="eastAsia"/>
                <w:bCs/>
                <w:sz w:val="20"/>
              </w:rPr>
              <w:t xml:space="preserve">Option 2: Per SRS resource set basis. </w:t>
            </w:r>
          </w:p>
          <w:p>
            <w:pPr>
              <w:pStyle w:val="139"/>
              <w:numPr>
                <w:ilvl w:val="1"/>
                <w:numId w:val="43"/>
              </w:numPr>
              <w:snapToGrid w:val="0"/>
              <w:spacing w:after="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39"/>
              <w:numPr>
                <w:ilvl w:val="1"/>
                <w:numId w:val="43"/>
              </w:numPr>
              <w:snapToGrid w:val="0"/>
              <w:spacing w:after="0"/>
              <w:jc w:val="both"/>
              <w:rPr>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snapToGrid w:val="0"/>
              <w:spacing w:after="0"/>
              <w:ind w:left="0"/>
              <w:jc w:val="both"/>
              <w:rPr>
                <w:sz w:val="20"/>
              </w:rPr>
            </w:pPr>
          </w:p>
        </w:tc>
      </w:tr>
    </w:tbl>
    <w:p>
      <w:pPr>
        <w:snapToGrid w:val="0"/>
      </w:pPr>
    </w:p>
    <w:p>
      <w:pPr>
        <w:pStyle w:val="40"/>
        <w:keepLines w:val="0"/>
        <w:numPr>
          <w:ilvl w:val="0"/>
          <w:numId w:val="0"/>
        </w:numPr>
        <w:snapToGrid w:val="0"/>
        <w:spacing w:before="180" w:after="180" w:line="240" w:lineRule="auto"/>
        <w:ind w:left="720" w:hanging="720"/>
        <w:jc w:val="both"/>
        <w:rPr>
          <w:rFonts w:ascii="Arial" w:hAnsi="Arial" w:eastAsia="宋体" w:cs="Arial"/>
          <w:sz w:val="22"/>
          <w:szCs w:val="22"/>
          <w:lang w:val="en-GB"/>
        </w:rPr>
      </w:pPr>
      <w:r>
        <w:rPr>
          <w:rFonts w:ascii="Arial" w:hAnsi="Arial" w:eastAsia="宋体" w:cs="Arial"/>
          <w:sz w:val="22"/>
          <w:szCs w:val="22"/>
          <w:lang w:val="en-GB"/>
        </w:rPr>
        <w:t>Round 1</w:t>
      </w:r>
    </w:p>
    <w:p>
      <w:pPr>
        <w:pStyle w:val="139"/>
        <w:snapToGrid w:val="0"/>
        <w:spacing w:before="180"/>
        <w:ind w:left="0"/>
        <w:jc w:val="both"/>
        <w:rPr>
          <w:bCs/>
          <w:sz w:val="20"/>
        </w:rPr>
      </w:pPr>
      <w:r>
        <w:rPr>
          <w:b/>
          <w:sz w:val="20"/>
          <w:lang w:val="en-GB"/>
        </w:rPr>
        <w:t>FL comments:</w:t>
      </w:r>
      <w:r>
        <w:rPr>
          <w:bCs/>
          <w:sz w:val="20"/>
        </w:rPr>
        <w:t xml:space="preserve"> </w:t>
      </w:r>
    </w:p>
    <w:p>
      <w:pPr>
        <w:pStyle w:val="139"/>
        <w:snapToGrid w:val="0"/>
        <w:spacing w:before="180"/>
        <w:ind w:left="0"/>
        <w:jc w:val="both"/>
        <w:rPr>
          <w:bCs/>
          <w:sz w:val="20"/>
          <w:lang w:eastAsia="zh-CN"/>
        </w:rPr>
      </w:pPr>
      <w:r>
        <w:rPr>
          <w:rFonts w:hint="eastAsia"/>
          <w:bCs/>
          <w:sz w:val="20"/>
          <w:lang w:eastAsia="zh-CN"/>
        </w:rPr>
        <w:t>Ericsson suggests an aggregation ID in PRS resource set to indicate whether some PRS/SRS resources in the linked set are aggregated or not. The proposal seems to go for resource level linkage. FL thinks it is not aligned with the previous agreement.</w:t>
      </w:r>
    </w:p>
    <w:p>
      <w:pPr>
        <w:pStyle w:val="139"/>
        <w:snapToGrid w:val="0"/>
        <w:spacing w:before="180"/>
        <w:ind w:left="0"/>
        <w:jc w:val="both"/>
        <w:rPr>
          <w:bCs/>
          <w:sz w:val="20"/>
          <w:lang w:eastAsia="zh-CN"/>
        </w:rPr>
      </w:pPr>
      <w:r>
        <w:rPr>
          <w:rFonts w:hint="eastAsia"/>
          <w:bCs/>
          <w:sz w:val="20"/>
          <w:lang w:eastAsia="zh-CN"/>
        </w:rPr>
        <w:t>Lenovo suggests use LPP assistance data message to configure the DL PRS resources for aggregation measurement. FL thinks it will be specified by RAN2, no additional agreement is needed.</w:t>
      </w:r>
    </w:p>
    <w:p>
      <w:pPr>
        <w:snapToGrid w:val="0"/>
        <w:rPr>
          <w:rFonts w:eastAsia="宋体"/>
          <w:bCs/>
          <w:sz w:val="20"/>
          <w:szCs w:val="20"/>
        </w:rPr>
      </w:pPr>
      <w:r>
        <w:rPr>
          <w:rFonts w:hint="eastAsia" w:eastAsia="宋体"/>
          <w:bCs/>
          <w:sz w:val="20"/>
          <w:szCs w:val="20"/>
        </w:rPr>
        <w:t xml:space="preserve">vivo and xiaomi suggest that the same resource ID for link. Lets give it try. </w:t>
      </w:r>
    </w:p>
    <w:p>
      <w:pPr>
        <w:snapToGrid w:val="0"/>
        <w:rPr>
          <w:rFonts w:eastAsia="宋体"/>
          <w:bCs/>
          <w:sz w:val="20"/>
          <w:szCs w:val="20"/>
        </w:rPr>
      </w:pPr>
      <w:r>
        <w:rPr>
          <w:rFonts w:hint="eastAsia" w:eastAsia="宋体"/>
          <w:bCs/>
          <w:sz w:val="20"/>
          <w:szCs w:val="20"/>
        </w:rPr>
        <w:t>vivo also has some other proposals, e.g. introduce cell group information by RRC, or update aggregation link by MACCE for periodic SRS. FL thinks it may be more RAN2 discussion or need more interest.</w:t>
      </w:r>
    </w:p>
    <w:p>
      <w:pPr>
        <w:snapToGrid w:val="0"/>
        <w:rPr>
          <w:rFonts w:ascii="Times" w:hAnsi="Times" w:cs="Times"/>
          <w:b/>
          <w:bCs/>
          <w:sz w:val="20"/>
          <w:szCs w:val="20"/>
        </w:rPr>
      </w:pPr>
    </w:p>
    <w:p>
      <w:pPr>
        <w:snapToGrid w:val="0"/>
        <w:rPr>
          <w:rFonts w:ascii="Times" w:hAnsi="Times" w:cs="Times"/>
          <w:b/>
          <w:bCs/>
          <w:sz w:val="20"/>
          <w:szCs w:val="20"/>
        </w:rPr>
      </w:pPr>
    </w:p>
    <w:p>
      <w:pPr>
        <w:snapToGrid w:val="0"/>
        <w:rPr>
          <w:rFonts w:ascii="Times" w:hAnsi="Times" w:eastAsia="宋体" w:cs="Times"/>
          <w:b/>
          <w:bCs/>
          <w:sz w:val="20"/>
        </w:rPr>
      </w:pPr>
      <w:r>
        <w:rPr>
          <w:rFonts w:ascii="Times" w:hAnsi="Times" w:cs="Times"/>
          <w:b/>
          <w:bCs/>
          <w:sz w:val="20"/>
        </w:rPr>
        <w:t xml:space="preserve">Proposal </w:t>
      </w:r>
      <w:r>
        <w:rPr>
          <w:rFonts w:ascii="Times" w:hAnsi="Times" w:eastAsia="宋体" w:cs="Times"/>
          <w:b/>
          <w:bCs/>
          <w:sz w:val="20"/>
        </w:rPr>
        <w:t>10-1:</w:t>
      </w:r>
    </w:p>
    <w:p>
      <w:pPr>
        <w:snapToGrid w:val="0"/>
        <w:rPr>
          <w:rFonts w:ascii="Times" w:hAnsi="Times" w:eastAsia="宋体" w:cs="Times"/>
          <w:sz w:val="20"/>
        </w:rPr>
      </w:pPr>
      <w:r>
        <w:rPr>
          <w:rFonts w:ascii="Times" w:hAnsi="Times" w:eastAsia="宋体" w:cs="Times"/>
          <w:sz w:val="20"/>
        </w:rPr>
        <w:t xml:space="preserve">For PRS/SRS bandwidth aggregation </w:t>
      </w:r>
    </w:p>
    <w:p>
      <w:pPr>
        <w:pStyle w:val="193"/>
        <w:numPr>
          <w:ilvl w:val="0"/>
          <w:numId w:val="28"/>
        </w:numPr>
        <w:snapToGrid w:val="0"/>
        <w:spacing w:before="0" w:beforeAutospacing="0" w:after="0"/>
        <w:textAlignment w:val="baseline"/>
        <w:rPr>
          <w:rFonts w:ascii="Times" w:hAnsi="Times" w:cs="Times"/>
          <w:sz w:val="20"/>
          <w:szCs w:val="20"/>
        </w:rPr>
      </w:pPr>
      <w:r>
        <w:rPr>
          <w:rFonts w:ascii="Times" w:hAnsi="Times" w:cs="Times"/>
          <w:sz w:val="20"/>
          <w:szCs w:val="20"/>
        </w:rPr>
        <w:t>PRS resources with same resource ID across linked PRS resource set are linked for aggregated PRS</w:t>
      </w:r>
    </w:p>
    <w:p>
      <w:pPr>
        <w:pStyle w:val="193"/>
        <w:numPr>
          <w:ilvl w:val="0"/>
          <w:numId w:val="28"/>
        </w:numPr>
        <w:snapToGrid w:val="0"/>
        <w:spacing w:before="0" w:beforeAutospacing="0" w:after="0"/>
        <w:textAlignment w:val="baseline"/>
        <w:rPr>
          <w:rFonts w:ascii="Times" w:hAnsi="Times" w:cs="Times"/>
          <w:sz w:val="20"/>
          <w:szCs w:val="20"/>
        </w:rPr>
      </w:pPr>
      <w:r>
        <w:rPr>
          <w:rFonts w:ascii="Times" w:hAnsi="Times" w:cs="Times"/>
          <w:sz w:val="20"/>
          <w:szCs w:val="20"/>
        </w:rPr>
        <w:t>SRS resources with same resource ID across linked SRS resource set are linked for aggregated SRS</w:t>
      </w:r>
    </w:p>
    <w:p>
      <w:pPr>
        <w:snapToGrid w:val="0"/>
        <w:rPr>
          <w:rFonts w:ascii="Times" w:hAnsi="Times" w:eastAsia="宋体" w:cs="Times"/>
          <w:sz w:val="20"/>
          <w:szCs w:val="20"/>
        </w:rPr>
      </w:pPr>
      <w:r>
        <w:rPr>
          <w:rFonts w:ascii="Times" w:hAnsi="Times" w:eastAsia="宋体" w:cs="Times"/>
          <w:sz w:val="20"/>
          <w:szCs w:val="20"/>
        </w:rPr>
        <w:t xml:space="preserve"> </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vivo</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 xml:space="preserve">Support. </w:t>
            </w:r>
          </w:p>
          <w:p>
            <w:pPr>
              <w:snapToGrid w:val="0"/>
              <w:rPr>
                <w:rFonts w:eastAsiaTheme="minorEastAsia"/>
                <w:iCs/>
                <w:sz w:val="20"/>
                <w:szCs w:val="20"/>
                <w:lang w:val="en-GB"/>
              </w:rPr>
            </w:pPr>
            <w:r>
              <w:rPr>
                <w:rFonts w:hint="eastAsia" w:eastAsiaTheme="minorEastAsia"/>
                <w:iCs/>
                <w:sz w:val="20"/>
                <w:szCs w:val="20"/>
                <w:lang w:val="en-GB"/>
              </w:rPr>
              <w:t xml:space="preserve">In this case, the UE only needs to check whether the conditions are satisfied for SRS resource with the same ID </w:t>
            </w:r>
            <w:r>
              <w:rPr>
                <w:rFonts w:hint="eastAsia" w:ascii="Times" w:hAnsi="Times" w:cs="Times"/>
                <w:sz w:val="20"/>
                <w:szCs w:val="20"/>
              </w:rPr>
              <w:t>across linked PRS resource 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Qualcomm</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 xml:space="preserve">We have already another agreement on how a UE will determine which PRS resources are linked. If we agree on having the same PRS resource ID, then why was the other agreement needed?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Spreadtrum</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We think it is not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Xiaomi</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Support. It is a simple mechianism.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Theme="minorEastAsia"/>
                <w:iCs/>
                <w:sz w:val="20"/>
                <w:szCs w:val="20"/>
              </w:rPr>
              <w:t>CATT</w:t>
            </w:r>
          </w:p>
        </w:tc>
        <w:tc>
          <w:tcPr>
            <w:tcW w:w="7508" w:type="dxa"/>
          </w:tcPr>
          <w:p>
            <w:pPr>
              <w:snapToGrid w:val="0"/>
              <w:rPr>
                <w:rFonts w:eastAsiaTheme="minorEastAsia"/>
                <w:iCs/>
                <w:sz w:val="20"/>
                <w:szCs w:val="20"/>
                <w:lang w:val="en-GB"/>
              </w:rPr>
            </w:pPr>
            <w:r>
              <w:rPr>
                <w:rFonts w:hint="eastAsia" w:eastAsiaTheme="minorEastAsia"/>
                <w:iCs/>
                <w:sz w:val="20"/>
                <w:szCs w:val="20"/>
                <w:lang w:val="en-GB"/>
              </w:rPr>
              <w:t xml:space="preserve">Similar question as Qualcomm.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20"/>
                <w:szCs w:val="20"/>
              </w:rPr>
            </w:pPr>
            <w:r>
              <w:rPr>
                <w:rFonts w:hint="eastAsia" w:eastAsia="Malgun Gothic"/>
                <w:iCs/>
                <w:sz w:val="20"/>
                <w:szCs w:val="20"/>
                <w:lang w:eastAsia="ko-KR"/>
              </w:rPr>
              <w:t>LGE</w:t>
            </w:r>
          </w:p>
        </w:tc>
        <w:tc>
          <w:tcPr>
            <w:tcW w:w="7508" w:type="dxa"/>
          </w:tcPr>
          <w:p>
            <w:pPr>
              <w:snapToGrid w:val="0"/>
              <w:rPr>
                <w:rFonts w:eastAsiaTheme="minorEastAsia"/>
                <w:iCs/>
                <w:sz w:val="20"/>
                <w:szCs w:val="20"/>
                <w:lang w:val="en-GB"/>
              </w:rPr>
            </w:pPr>
            <w:r>
              <w:rPr>
                <w:rFonts w:hint="eastAsia" w:eastAsia="Malgun Gothic"/>
                <w:iCs/>
                <w:sz w:val="20"/>
                <w:szCs w:val="20"/>
                <w:lang w:val="en-GB" w:eastAsia="ko-KR"/>
              </w:rPr>
              <w:t>It seems not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Malgun Gothic"/>
                <w:iCs/>
                <w:sz w:val="20"/>
                <w:szCs w:val="20"/>
                <w:lang w:eastAsia="ko-KR"/>
              </w:rPr>
            </w:pPr>
            <w:r>
              <w:rPr>
                <w:rFonts w:hint="eastAsia" w:eastAsia="Malgun Gothic"/>
                <w:iCs/>
                <w:sz w:val="20"/>
                <w:szCs w:val="20"/>
                <w:lang w:eastAsia="ko-KR"/>
              </w:rPr>
              <w:t>Ericsson</w:t>
            </w:r>
          </w:p>
        </w:tc>
        <w:tc>
          <w:tcPr>
            <w:tcW w:w="7508" w:type="dxa"/>
          </w:tcPr>
          <w:p>
            <w:pPr>
              <w:snapToGrid w:val="0"/>
              <w:rPr>
                <w:rFonts w:eastAsia="Malgun Gothic"/>
                <w:iCs/>
                <w:sz w:val="20"/>
                <w:szCs w:val="20"/>
                <w:lang w:val="en-GB" w:eastAsia="ko-KR"/>
              </w:rPr>
            </w:pPr>
            <w:r>
              <w:rPr>
                <w:rFonts w:hint="eastAsia" w:eastAsia="Malgun Gothic"/>
                <w:iCs/>
                <w:sz w:val="20"/>
                <w:szCs w:val="20"/>
                <w:lang w:val="en-GB" w:eastAsia="ko-KR"/>
              </w:rPr>
              <w:t>Similar comment as Qualcomm</w:t>
            </w:r>
          </w:p>
        </w:tc>
      </w:tr>
    </w:tbl>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PRS prioritization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vAlign w:val="center"/>
          </w:tcPr>
          <w:p>
            <w:pPr>
              <w:tabs>
                <w:tab w:val="left" w:pos="1276"/>
              </w:tabs>
              <w:snapToGrid w:val="0"/>
              <w:rPr>
                <w:rFonts w:eastAsia="宋体"/>
                <w:iCs/>
                <w:sz w:val="20"/>
                <w:szCs w:val="20"/>
              </w:rPr>
            </w:pPr>
            <w:r>
              <w:rPr>
                <w:rFonts w:hint="eastAsia" w:eastAsia="宋体"/>
                <w:iCs/>
                <w:sz w:val="20"/>
                <w:szCs w:val="20"/>
              </w:rPr>
              <w:t>Huawei</w:t>
            </w:r>
          </w:p>
        </w:tc>
        <w:tc>
          <w:tcPr>
            <w:tcW w:w="8221" w:type="dxa"/>
            <w:vAlign w:val="center"/>
          </w:tcPr>
          <w:p>
            <w:pPr>
              <w:rPr>
                <w:iCs/>
                <w:sz w:val="20"/>
                <w:szCs w:val="20"/>
              </w:rPr>
            </w:pPr>
            <w:r>
              <w:rPr>
                <w:rFonts w:hint="eastAsia"/>
                <w:iCs/>
                <w:sz w:val="20"/>
                <w:szCs w:val="20"/>
              </w:rPr>
              <w:t xml:space="preserve">Proposal </w:t>
            </w:r>
            <w:r>
              <w:rPr>
                <w:rFonts w:hint="eastAsia"/>
                <w:iCs/>
                <w:sz w:val="20"/>
                <w:szCs w:val="20"/>
              </w:rPr>
              <w:fldChar w:fldCharType="begin"/>
            </w:r>
            <w:r>
              <w:rPr>
                <w:rFonts w:hint="eastAsia"/>
                <w:iCs/>
                <w:sz w:val="20"/>
                <w:szCs w:val="20"/>
              </w:rPr>
              <w:instrText xml:space="preserve"> SEQ Proposal \* ARABIC  \* MERGEFORMAT </w:instrText>
            </w:r>
            <w:r>
              <w:rPr>
                <w:rFonts w:hint="eastAsia"/>
                <w:iCs/>
                <w:sz w:val="20"/>
                <w:szCs w:val="20"/>
              </w:rPr>
              <w:fldChar w:fldCharType="separate"/>
            </w:r>
            <w:r>
              <w:rPr>
                <w:rFonts w:hint="eastAsia"/>
                <w:iCs/>
                <w:sz w:val="20"/>
                <w:szCs w:val="20"/>
              </w:rPr>
              <w:t>8</w:t>
            </w:r>
            <w:r>
              <w:rPr>
                <w:rFonts w:hint="eastAsia"/>
                <w:iCs/>
                <w:sz w:val="20"/>
                <w:szCs w:val="20"/>
              </w:rPr>
              <w:fldChar w:fldCharType="end"/>
            </w:r>
            <w:r>
              <w:rPr>
                <w:rFonts w:hint="eastAsia"/>
                <w:iCs/>
                <w:sz w:val="20"/>
                <w:szCs w:val="20"/>
              </w:rPr>
              <w:t xml:space="preserve">: When the UE receives a request to perform aggregated measurements, </w:t>
            </w:r>
          </w:p>
          <w:p>
            <w:pPr>
              <w:pStyle w:val="114"/>
              <w:rPr>
                <w:iCs/>
                <w:sz w:val="20"/>
                <w:szCs w:val="20"/>
              </w:rPr>
            </w:pPr>
            <w:bookmarkStart w:id="78" w:name="OLE_LINK46"/>
            <w:r>
              <w:rPr>
                <w:rFonts w:hint="eastAsia"/>
                <w:iCs/>
                <w:sz w:val="20"/>
                <w:szCs w:val="20"/>
              </w:rPr>
              <w:t>TRP(s) that include the same</w:t>
            </w:r>
            <w:bookmarkStart w:id="79" w:name="OLE_LINK101"/>
            <w:r>
              <w:rPr>
                <w:rFonts w:hint="eastAsia"/>
                <w:iCs/>
                <w:sz w:val="20"/>
                <w:szCs w:val="20"/>
              </w:rPr>
              <w:t xml:space="preserve"> PFL combination</w:t>
            </w:r>
            <w:bookmarkEnd w:id="79"/>
            <w:r>
              <w:rPr>
                <w:rFonts w:hint="eastAsia"/>
                <w:iCs/>
                <w:sz w:val="20"/>
                <w:szCs w:val="20"/>
              </w:rPr>
              <w:t xml:space="preserve"> and the same aggregated total bandwidth as the reference TRP have higher priority than the TRPs that do not include the same frequency combination. </w:t>
            </w:r>
            <w:bookmarkEnd w:id="78"/>
          </w:p>
        </w:tc>
      </w:tr>
    </w:tbl>
    <w:p>
      <w:pPr>
        <w:snapToGrid w:val="0"/>
      </w:pPr>
    </w:p>
    <w:p>
      <w:pPr>
        <w:snapToGrid w:val="0"/>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rFonts w:hint="eastAsia"/>
                <w:b/>
                <w:bCs/>
                <w:sz w:val="20"/>
                <w:szCs w:val="20"/>
                <w:u w:val="single"/>
              </w:rPr>
              <w:t>Agreement</w:t>
            </w:r>
          </w:p>
          <w:p>
            <w:pPr>
              <w:snapToGrid w:val="0"/>
              <w:rPr>
                <w:iCs/>
                <w:sz w:val="20"/>
                <w:szCs w:val="20"/>
              </w:rPr>
            </w:pPr>
            <w:r>
              <w:rPr>
                <w:rFonts w:hint="eastAsia"/>
                <w:iCs/>
                <w:sz w:val="20"/>
                <w:szCs w:val="20"/>
              </w:rPr>
              <w:t xml:space="preserve">When the UE receives a request to perform aggregated measurements, </w:t>
            </w:r>
          </w:p>
          <w:p>
            <w:pPr>
              <w:pStyle w:val="139"/>
              <w:numPr>
                <w:ilvl w:val="0"/>
                <w:numId w:val="44"/>
              </w:numPr>
              <w:snapToGrid w:val="0"/>
              <w:spacing w:after="0"/>
              <w:rPr>
                <w:iCs/>
                <w:sz w:val="20"/>
              </w:rPr>
            </w:pPr>
            <w:r>
              <w:rPr>
                <w:rFonts w:hint="eastAsia"/>
                <w:iCs/>
                <w:sz w:val="20"/>
              </w:rPr>
              <w:t>TRP</w:t>
            </w:r>
            <w:r>
              <w:rPr>
                <w:rFonts w:hint="eastAsia"/>
                <w:iCs/>
                <w:sz w:val="20"/>
                <w:lang w:eastAsia="zh-CN"/>
              </w:rPr>
              <w:t>(</w:t>
            </w:r>
            <w:r>
              <w:rPr>
                <w:rFonts w:hint="eastAsia"/>
                <w:iCs/>
                <w:sz w:val="20"/>
              </w:rPr>
              <w:t>s</w:t>
            </w:r>
            <w:r>
              <w:rPr>
                <w:rFonts w:hint="eastAsia"/>
                <w:iCs/>
                <w:sz w:val="20"/>
                <w:lang w:eastAsia="zh-CN"/>
              </w:rPr>
              <w:t>)</w:t>
            </w:r>
            <w:r>
              <w:rPr>
                <w:rFonts w:hint="eastAsia"/>
                <w:iCs/>
                <w:sz w:val="20"/>
              </w:rPr>
              <w:t xml:space="preserve"> that include PRS aggregation have higher priority than the TRPs that do not include </w:t>
            </w:r>
            <w:r>
              <w:rPr>
                <w:rFonts w:hint="eastAsia"/>
                <w:iCs/>
                <w:sz w:val="20"/>
                <w:lang w:eastAsia="zh-CN"/>
              </w:rPr>
              <w:t>PRS aggregation</w:t>
            </w:r>
          </w:p>
          <w:p>
            <w:pPr>
              <w:pStyle w:val="139"/>
              <w:numPr>
                <w:ilvl w:val="1"/>
                <w:numId w:val="44"/>
              </w:numPr>
              <w:snapToGrid w:val="0"/>
              <w:spacing w:after="0"/>
              <w:rPr>
                <w:iCs/>
                <w:sz w:val="20"/>
              </w:rPr>
            </w:pPr>
            <w:r>
              <w:rPr>
                <w:rFonts w:hint="eastAsia"/>
                <w:iCs/>
                <w:sz w:val="20"/>
              </w:rPr>
              <w:t>If 2 or more TRPs include linked resources, then their priority follows the legacy priority, i.e., sorted in the configuration according to priority</w:t>
            </w:r>
          </w:p>
          <w:p>
            <w:pPr>
              <w:pStyle w:val="139"/>
              <w:numPr>
                <w:ilvl w:val="0"/>
                <w:numId w:val="44"/>
              </w:numPr>
              <w:snapToGrid w:val="0"/>
              <w:spacing w:after="0"/>
              <w:rPr>
                <w:iCs/>
                <w:sz w:val="20"/>
              </w:rPr>
            </w:pPr>
            <w:r>
              <w:rPr>
                <w:rFonts w:hint="eastAsia"/>
                <w:iCs/>
                <w:sz w:val="20"/>
                <w:lang w:eastAsia="zh-CN"/>
              </w:rPr>
              <w:t>I</w:t>
            </w:r>
            <w:r>
              <w:rPr>
                <w:rFonts w:hint="eastAsia"/>
                <w:iCs/>
                <w:sz w:val="20"/>
              </w:rPr>
              <w:t>f a PRS resource set is linked for aggregation, then it has higher priority compared to the PRS resource set not linked for aggregation.</w:t>
            </w:r>
          </w:p>
          <w:p>
            <w:pPr>
              <w:pStyle w:val="139"/>
              <w:numPr>
                <w:ilvl w:val="1"/>
                <w:numId w:val="44"/>
              </w:numPr>
              <w:snapToGrid w:val="0"/>
              <w:spacing w:after="0"/>
              <w:rPr>
                <w:iCs/>
                <w:sz w:val="20"/>
              </w:rPr>
            </w:pPr>
            <w:r>
              <w:rPr>
                <w:rFonts w:hint="eastAsia"/>
                <w:iCs/>
                <w:sz w:val="20"/>
              </w:rPr>
              <w:t>If both sets in a PFL are linked for aggregation, then their priority follows the legacy priority, i.e., sorted in the configuration according to priority</w:t>
            </w:r>
          </w:p>
          <w:p>
            <w:pPr>
              <w:snapToGrid w:val="0"/>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rPr>
          <w:b/>
          <w:sz w:val="20"/>
          <w:szCs w:val="20"/>
          <w:lang w:val="en-GB"/>
        </w:rPr>
      </w:pPr>
      <w:r>
        <w:rPr>
          <w:b/>
          <w:sz w:val="20"/>
          <w:szCs w:val="20"/>
          <w:lang w:val="en-GB"/>
        </w:rPr>
        <w:t xml:space="preserve">FL comments: </w:t>
      </w:r>
    </w:p>
    <w:p>
      <w:pPr>
        <w:snapToGrid w:val="0"/>
        <w:jc w:val="both"/>
        <w:rPr>
          <w:rFonts w:eastAsia="宋体"/>
          <w:bCs/>
          <w:sz w:val="20"/>
          <w:szCs w:val="20"/>
        </w:rPr>
      </w:pPr>
      <w:r>
        <w:rPr>
          <w:rFonts w:hint="eastAsia" w:eastAsia="宋体"/>
          <w:bCs/>
          <w:sz w:val="20"/>
          <w:szCs w:val="20"/>
        </w:rPr>
        <w:t xml:space="preserve">Huawei mentioned that, </w:t>
      </w:r>
      <w:r>
        <w:rPr>
          <w:rFonts w:hint="eastAsia"/>
          <w:bCs/>
          <w:sz w:val="20"/>
          <w:szCs w:val="20"/>
        </w:rPr>
        <w:t>a</w:t>
      </w:r>
      <w:r>
        <w:rPr>
          <w:bCs/>
          <w:sz w:val="20"/>
          <w:szCs w:val="20"/>
        </w:rPr>
        <w:t>mong the TRPs configured with PRS aggregation, the PRS aggregation configuration may also be different, and the measurement priority can be further specified to reduce the complexity and the delay of UE measurement. For example, when a reference TRP is configured, UE can firstly measure TRPs with the same positioning frequency layer as that for the reference TRP</w:t>
      </w:r>
      <w:r>
        <w:rPr>
          <w:rFonts w:hint="eastAsia"/>
          <w:bCs/>
          <w:sz w:val="20"/>
          <w:szCs w:val="20"/>
        </w:rPr>
        <w:t>. Lets try the proposal.</w:t>
      </w:r>
    </w:p>
    <w:p>
      <w:pPr>
        <w:snapToGrid w:val="0"/>
        <w:rPr>
          <w:rFonts w:ascii="Times" w:hAnsi="Times" w:eastAsia="宋体" w:cs="Times"/>
          <w:b/>
          <w:sz w:val="20"/>
          <w:szCs w:val="20"/>
        </w:rPr>
      </w:pPr>
    </w:p>
    <w:p>
      <w:pPr>
        <w:snapToGrid w:val="0"/>
        <w:rPr>
          <w:rFonts w:ascii="Times" w:hAnsi="Times" w:eastAsia="宋体" w:cs="Times"/>
          <w:bCs/>
          <w:sz w:val="20"/>
          <w:szCs w:val="20"/>
        </w:rPr>
      </w:pPr>
    </w:p>
    <w:p>
      <w:pPr>
        <w:snapToGrid w:val="0"/>
        <w:jc w:val="both"/>
        <w:rPr>
          <w:rFonts w:ascii="Times" w:hAnsi="Times" w:cs="Times"/>
          <w:b/>
          <w:bCs/>
          <w:sz w:val="20"/>
          <w:szCs w:val="20"/>
        </w:rPr>
      </w:pPr>
      <w:r>
        <w:rPr>
          <w:rFonts w:ascii="Times" w:hAnsi="Times" w:cs="Times"/>
          <w:b/>
          <w:bCs/>
          <w:sz w:val="20"/>
          <w:szCs w:val="20"/>
        </w:rPr>
        <w:t xml:space="preserve">Proposal </w:t>
      </w:r>
      <w:r>
        <w:rPr>
          <w:rFonts w:ascii="Times" w:hAnsi="Times" w:eastAsia="宋体" w:cs="Times"/>
          <w:b/>
          <w:bCs/>
          <w:sz w:val="20"/>
          <w:szCs w:val="20"/>
        </w:rPr>
        <w:t>11</w:t>
      </w:r>
      <w:r>
        <w:rPr>
          <w:rFonts w:ascii="Times" w:hAnsi="Times" w:cs="Times"/>
          <w:b/>
          <w:bCs/>
          <w:sz w:val="20"/>
          <w:szCs w:val="20"/>
        </w:rPr>
        <w:t xml:space="preserve">-1: </w:t>
      </w:r>
    </w:p>
    <w:p>
      <w:pPr>
        <w:snapToGrid w:val="0"/>
        <w:rPr>
          <w:rFonts w:ascii="Times" w:hAnsi="Times" w:cs="Times"/>
          <w:iCs/>
          <w:sz w:val="20"/>
          <w:szCs w:val="20"/>
        </w:rPr>
      </w:pPr>
      <w:r>
        <w:rPr>
          <w:rFonts w:ascii="Times" w:hAnsi="Times" w:cs="Times"/>
          <w:iCs/>
          <w:sz w:val="20"/>
          <w:szCs w:val="20"/>
        </w:rPr>
        <w:t xml:space="preserve">When the UE receives a request to perform aggregated measurements, </w:t>
      </w:r>
    </w:p>
    <w:p>
      <w:pPr>
        <w:pStyle w:val="139"/>
        <w:numPr>
          <w:ilvl w:val="0"/>
          <w:numId w:val="44"/>
        </w:numPr>
        <w:snapToGrid w:val="0"/>
        <w:spacing w:after="0"/>
        <w:rPr>
          <w:rFonts w:ascii="Times" w:hAnsi="Times" w:cs="Times"/>
          <w:iCs/>
          <w:sz w:val="20"/>
        </w:rPr>
      </w:pPr>
      <w:r>
        <w:rPr>
          <w:rFonts w:ascii="Times" w:hAnsi="Times" w:cs="Times"/>
          <w:iCs/>
          <w:sz w:val="20"/>
        </w:rPr>
        <w:t xml:space="preserve">TRP(s) that include the same PFL combination and the same aggregated total bandwidth as the reference TRP have higher priority than the TRPs that do not include the same frequency combination. </w:t>
      </w:r>
    </w:p>
    <w:p>
      <w:pPr>
        <w:snapToGrid w:val="0"/>
        <w:rPr>
          <w:rFonts w:ascii="Times" w:hAnsi="Times" w:eastAsia="宋体" w:cs="Times"/>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 xml:space="preserve">Even in the current specification, the priority of PFL is not defined. So, we would like to know additional benefit of defining aggregation PFL priority.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Qualcomm</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Not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What is the condition of this priority rule? If UE can support the measurement on the all configured TRPs, it is unnecessary.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Huawei, HiSilicon</w:t>
            </w:r>
          </w:p>
        </w:tc>
        <w:tc>
          <w:tcPr>
            <w:tcW w:w="7508" w:type="dxa"/>
            <w:vAlign w:val="center"/>
          </w:tcPr>
          <w:p>
            <w:pPr>
              <w:ind w:left="-60"/>
              <w:jc w:val="both"/>
              <w:rPr>
                <w:rFonts w:eastAsia="等线"/>
                <w:sz w:val="18"/>
                <w:szCs w:val="21"/>
                <w:lang w:val="en-GB"/>
              </w:rPr>
            </w:pPr>
            <w:r>
              <w:rPr>
                <w:rFonts w:hint="eastAsia" w:eastAsia="等线"/>
                <w:sz w:val="18"/>
                <w:szCs w:val="21"/>
                <w:lang w:val="en-GB"/>
              </w:rPr>
              <w:t>Reply vivo and QC, it is beneficial for the UE processing complexity. A simple example is shown:</w:t>
            </w:r>
          </w:p>
          <w:p>
            <w:pPr>
              <w:ind w:left="-60"/>
              <w:jc w:val="both"/>
              <w:rPr>
                <w:rFonts w:eastAsia="等线"/>
                <w:sz w:val="18"/>
                <w:szCs w:val="21"/>
                <w:lang w:val="en-GB"/>
              </w:rPr>
            </w:pPr>
            <w:r>
              <w:rPr>
                <w:rFonts w:hint="eastAsia" w:eastAsia="等线"/>
                <w:sz w:val="18"/>
                <w:szCs w:val="21"/>
                <w:lang w:val="en-GB"/>
              </w:rPr>
              <w:drawing>
                <wp:inline distT="0" distB="0" distL="0" distR="0">
                  <wp:extent cx="2711450" cy="1797050"/>
                  <wp:effectExtent l="0" t="0" r="0" b="0"/>
                  <wp:docPr id="3" name="图片 3" descr="cid:image001.png@01D9D447.F8B35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id:image001.png@01D9D447.F8B3589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2711450" cy="1797050"/>
                          </a:xfrm>
                          <a:prstGeom prst="rect">
                            <a:avLst/>
                          </a:prstGeom>
                          <a:noFill/>
                          <a:ln>
                            <a:noFill/>
                          </a:ln>
                        </pic:spPr>
                      </pic:pic>
                    </a:graphicData>
                  </a:graphic>
                </wp:inline>
              </w:drawing>
            </w:r>
          </w:p>
          <w:p>
            <w:pPr>
              <w:ind w:left="-60"/>
              <w:jc w:val="both"/>
              <w:rPr>
                <w:rFonts w:eastAsia="等线"/>
                <w:sz w:val="18"/>
                <w:szCs w:val="21"/>
                <w:lang w:val="en-GB"/>
              </w:rPr>
            </w:pPr>
          </w:p>
          <w:p>
            <w:pPr>
              <w:ind w:left="-60"/>
              <w:jc w:val="both"/>
              <w:rPr>
                <w:rFonts w:eastAsia="等线"/>
                <w:bCs/>
                <w:sz w:val="18"/>
                <w:szCs w:val="21"/>
                <w:lang w:val="en-GB"/>
              </w:rPr>
            </w:pPr>
            <w:r>
              <w:rPr>
                <w:rFonts w:hint="eastAsia" w:eastAsia="等线"/>
                <w:bCs/>
                <w:sz w:val="18"/>
                <w:szCs w:val="21"/>
                <w:lang w:val="en-GB"/>
              </w:rPr>
              <w:t>It should be clear that this proposal is the extension of the existing priorty with respect to the reference TRP, so that the PFL combination of the reference TRP always have a higher priority.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Malgun Gothic"/>
                <w:iCs/>
                <w:sz w:val="18"/>
                <w:szCs w:val="18"/>
                <w:lang w:eastAsia="ko-KR"/>
              </w:rPr>
              <w:t>LGE</w:t>
            </w:r>
          </w:p>
        </w:tc>
        <w:tc>
          <w:tcPr>
            <w:tcW w:w="7508" w:type="dxa"/>
            <w:vAlign w:val="center"/>
          </w:tcPr>
          <w:p>
            <w:pPr>
              <w:ind w:left="-60"/>
              <w:jc w:val="both"/>
              <w:rPr>
                <w:rFonts w:eastAsia="等线"/>
                <w:sz w:val="18"/>
                <w:szCs w:val="21"/>
                <w:lang w:val="en-GB"/>
              </w:rPr>
            </w:pPr>
            <w:r>
              <w:rPr>
                <w:rFonts w:hint="eastAsia" w:eastAsia="Malgun Gothic"/>
                <w:sz w:val="18"/>
                <w:szCs w:val="21"/>
                <w:lang w:val="en-GB" w:eastAsia="ko-KR"/>
              </w:rPr>
              <w:t xml:space="preserve">Not necessary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r>
              <w:rPr>
                <w:rFonts w:hint="eastAsia" w:eastAsia="Malgun Gothic"/>
                <w:iCs/>
                <w:sz w:val="18"/>
                <w:szCs w:val="18"/>
                <w:lang w:eastAsia="ko-KR"/>
              </w:rPr>
              <w:t>Ericsson</w:t>
            </w:r>
          </w:p>
        </w:tc>
        <w:tc>
          <w:tcPr>
            <w:tcW w:w="7508" w:type="dxa"/>
            <w:vAlign w:val="center"/>
          </w:tcPr>
          <w:p>
            <w:pPr>
              <w:ind w:left="-60"/>
              <w:jc w:val="both"/>
              <w:rPr>
                <w:rFonts w:eastAsia="Malgun Gothic"/>
                <w:sz w:val="18"/>
                <w:szCs w:val="21"/>
                <w:lang w:val="en-GB" w:eastAsia="ko-KR"/>
              </w:rPr>
            </w:pPr>
            <w:r>
              <w:rPr>
                <w:rFonts w:hint="eastAsia" w:eastAsia="Malgun Gothic"/>
                <w:sz w:val="18"/>
                <w:szCs w:val="21"/>
                <w:lang w:val="en-GB" w:eastAsia="ko-KR"/>
              </w:rPr>
              <w:t>Not necessary.</w:t>
            </w:r>
          </w:p>
        </w:tc>
      </w:tr>
    </w:tbl>
    <w:p>
      <w:pPr>
        <w:snapToGrid w:val="0"/>
        <w:rPr>
          <w:kern w:val="2"/>
          <w:sz w:val="20"/>
        </w:rPr>
      </w:pPr>
    </w:p>
    <w:p>
      <w:pPr>
        <w:snapToGrid w:val="0"/>
        <w:rPr>
          <w:sz w:val="20"/>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Decoupled from UL CA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1" w:hRule="atLeast"/>
        </w:trPr>
        <w:tc>
          <w:tcPr>
            <w:tcW w:w="1129" w:type="dxa"/>
          </w:tcPr>
          <w:p>
            <w:pPr>
              <w:tabs>
                <w:tab w:val="left" w:pos="1276"/>
              </w:tabs>
              <w:snapToGrid w:val="0"/>
              <w:rPr>
                <w:sz w:val="20"/>
                <w:szCs w:val="20"/>
                <w:lang w:val="en-GB"/>
              </w:rPr>
            </w:pPr>
            <w:r>
              <w:rPr>
                <w:rFonts w:hint="eastAsia"/>
                <w:sz w:val="20"/>
                <w:szCs w:val="20"/>
                <w:lang w:val="en-GB"/>
              </w:rPr>
              <w:t>vivo</w:t>
            </w:r>
          </w:p>
        </w:tc>
        <w:tc>
          <w:tcPr>
            <w:tcW w:w="8221" w:type="dxa"/>
          </w:tcPr>
          <w:p>
            <w:pPr>
              <w:snapToGrid w:val="0"/>
              <w:rPr>
                <w:rFonts w:eastAsia="宋体"/>
                <w:sz w:val="20"/>
                <w:szCs w:val="20"/>
              </w:rPr>
            </w:pPr>
            <w:r>
              <w:rPr>
                <w:rFonts w:hint="eastAsia" w:eastAsia="宋体"/>
                <w:sz w:val="20"/>
                <w:szCs w:val="20"/>
              </w:rPr>
              <w:t>Proposal 12:</w:t>
            </w:r>
          </w:p>
          <w:p>
            <w:pPr>
              <w:numPr>
                <w:ilvl w:val="0"/>
                <w:numId w:val="7"/>
              </w:numPr>
              <w:spacing w:after="120" w:line="260" w:lineRule="exact"/>
              <w:jc w:val="both"/>
              <w:rPr>
                <w:rFonts w:eastAsia="宋体"/>
                <w:sz w:val="20"/>
                <w:szCs w:val="20"/>
              </w:rPr>
            </w:pPr>
            <w:bookmarkStart w:id="80" w:name="OLE_LINK51"/>
            <w:r>
              <w:rPr>
                <w:rFonts w:hint="eastAsia" w:eastAsia="宋体"/>
                <w:sz w:val="20"/>
                <w:szCs w:val="20"/>
              </w:rPr>
              <w:t>If one or two additional carriers are activated for SRS bandwidth aggregation only</w:t>
            </w:r>
          </w:p>
          <w:p>
            <w:pPr>
              <w:numPr>
                <w:ilvl w:val="1"/>
                <w:numId w:val="7"/>
              </w:numPr>
              <w:spacing w:after="120" w:line="260" w:lineRule="exact"/>
              <w:jc w:val="both"/>
              <w:rPr>
                <w:rFonts w:eastAsia="宋体"/>
                <w:sz w:val="20"/>
                <w:szCs w:val="20"/>
              </w:rPr>
            </w:pPr>
            <w:bookmarkStart w:id="81" w:name="OLE_LINK18"/>
            <w:r>
              <w:rPr>
                <w:rFonts w:hint="eastAsia" w:eastAsia="宋体"/>
                <w:sz w:val="20"/>
                <w:szCs w:val="20"/>
              </w:rPr>
              <w:t xml:space="preserve"> The legacy SCell operations such as, e.g., PDCCH monitoring, PHR reporting, etc.  may not be applied</w:t>
            </w:r>
          </w:p>
          <w:p>
            <w:pPr>
              <w:numPr>
                <w:ilvl w:val="1"/>
                <w:numId w:val="7"/>
              </w:numPr>
              <w:spacing w:after="120" w:line="260" w:lineRule="exact"/>
              <w:jc w:val="both"/>
              <w:rPr>
                <w:rFonts w:eastAsia="宋体"/>
                <w:sz w:val="20"/>
                <w:szCs w:val="20"/>
              </w:rPr>
            </w:pPr>
            <w:r>
              <w:rPr>
                <w:rFonts w:hint="eastAsia" w:eastAsia="宋体"/>
                <w:sz w:val="20"/>
                <w:szCs w:val="20"/>
              </w:rPr>
              <w:t>The sCellDeactivationTimer may be disabled for those carriers</w:t>
            </w:r>
          </w:p>
          <w:bookmarkEnd w:id="80"/>
          <w:bookmarkEnd w:id="81"/>
          <w:p>
            <w:pPr>
              <w:snapToGrid w:val="0"/>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rPr>
                <w:rFonts w:eastAsia="宋体"/>
                <w:sz w:val="20"/>
                <w:szCs w:val="20"/>
              </w:rPr>
            </w:pPr>
            <w:r>
              <w:rPr>
                <w:rFonts w:hint="eastAsia" w:eastAsia="宋体"/>
                <w:sz w:val="20"/>
                <w:szCs w:val="20"/>
              </w:rPr>
              <w:t>Ericsson</w:t>
            </w:r>
          </w:p>
        </w:tc>
        <w:tc>
          <w:tcPr>
            <w:tcW w:w="8221" w:type="dxa"/>
          </w:tcPr>
          <w:p>
            <w:pPr>
              <w:pStyle w:val="152"/>
              <w:rPr>
                <w:rFonts w:ascii="Times New Roman" w:hAnsi="Times New Roman" w:eastAsia="宋体" w:cs="Times New Roman"/>
                <w:b w:val="0"/>
                <w:bCs w:val="0"/>
                <w:sz w:val="20"/>
                <w:szCs w:val="20"/>
              </w:rPr>
            </w:pPr>
            <w:bookmarkStart w:id="82" w:name="_Toc142658047"/>
            <w:r>
              <w:rPr>
                <w:rFonts w:hint="eastAsia" w:ascii="Times New Roman" w:hAnsi="Times New Roman" w:eastAsia="宋体" w:cs="Times New Roman"/>
                <w:b w:val="0"/>
                <w:bCs w:val="0"/>
                <w:sz w:val="20"/>
                <w:szCs w:val="20"/>
              </w:rPr>
              <w:t>Proposal 10</w:t>
            </w:r>
          </w:p>
          <w:p>
            <w:pPr>
              <w:pStyle w:val="152"/>
              <w:ind w:left="1350"/>
              <w:rPr>
                <w:rFonts w:ascii="Times New Roman" w:hAnsi="Times New Roman" w:cs="Times New Roman"/>
                <w:b w:val="0"/>
                <w:bCs w:val="0"/>
                <w:sz w:val="20"/>
                <w:szCs w:val="20"/>
              </w:rPr>
            </w:pPr>
            <w:bookmarkStart w:id="83" w:name="OLE_LINK17"/>
            <w:r>
              <w:rPr>
                <w:rFonts w:hint="eastAsia" w:ascii="Times New Roman" w:hAnsi="Times New Roman" w:cs="Times New Roman"/>
                <w:b w:val="0"/>
                <w:bCs w:val="0"/>
                <w:sz w:val="20"/>
                <w:szCs w:val="20"/>
              </w:rPr>
              <w:t>The UE continues transmitting SRS on the UL carrier frequency configured for both SRS bandwidth aggregation and the multicarrier communication during the PRS/SRS bandwidth aggregation even if that UL carrier frequency is deactivated by gNB</w:t>
            </w:r>
            <w:bookmarkEnd w:id="83"/>
            <w:r>
              <w:rPr>
                <w:rFonts w:hint="eastAsia" w:ascii="Times New Roman" w:hAnsi="Times New Roman" w:cs="Times New Roman"/>
                <w:b w:val="0"/>
                <w:bCs w:val="0"/>
                <w:sz w:val="20"/>
                <w:szCs w:val="20"/>
              </w:rPr>
              <w:t>.</w:t>
            </w:r>
            <w:bookmarkEnd w:id="82"/>
          </w:p>
          <w:p>
            <w:pPr>
              <w:pStyle w:val="152"/>
              <w:snapToGrid w:val="0"/>
              <w:spacing w:after="0"/>
              <w:ind w:left="46"/>
              <w:jc w:val="left"/>
              <w:rPr>
                <w:rFonts w:ascii="Times New Roman" w:hAnsi="Times New Roman" w:eastAsia="宋体" w:cs="Times New Roman"/>
                <w:b w:val="0"/>
                <w:bCs w:val="0"/>
                <w:sz w:val="20"/>
                <w:szCs w:val="20"/>
              </w:rPr>
            </w:pPr>
          </w:p>
        </w:tc>
      </w:tr>
    </w:tbl>
    <w:p>
      <w:pPr>
        <w:snapToGrid w:val="0"/>
      </w:pPr>
    </w:p>
    <w:p>
      <w:pPr>
        <w:snapToGrid w:val="0"/>
      </w:pP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rFonts w:eastAsia="宋体"/>
                <w:b/>
                <w:bCs/>
                <w:sz w:val="20"/>
                <w:szCs w:val="20"/>
                <w:u w:val="single"/>
              </w:rPr>
            </w:pPr>
            <w:r>
              <w:rPr>
                <w:rFonts w:hint="eastAsia"/>
                <w:b/>
                <w:bCs/>
                <w:sz w:val="20"/>
                <w:szCs w:val="20"/>
                <w:u w:val="single"/>
              </w:rPr>
              <w:t>Agreement</w:t>
            </w:r>
            <w:r>
              <w:rPr>
                <w:rFonts w:hint="eastAsia" w:eastAsia="宋体"/>
                <w:b/>
                <w:bCs/>
                <w:sz w:val="20"/>
                <w:szCs w:val="20"/>
                <w:u w:val="single"/>
              </w:rPr>
              <w:t xml:space="preserve"> </w:t>
            </w:r>
          </w:p>
          <w:p>
            <w:pPr>
              <w:pStyle w:val="139"/>
              <w:snapToGrid w:val="0"/>
              <w:spacing w:after="0"/>
              <w:ind w:left="0"/>
              <w:jc w:val="both"/>
              <w:rPr>
                <w:sz w:val="20"/>
                <w:lang w:eastAsia="zh-CN"/>
              </w:rPr>
            </w:pPr>
            <w:r>
              <w:rPr>
                <w:rFonts w:hint="eastAsia"/>
                <w:sz w:val="20"/>
              </w:rPr>
              <w:t>At least from UE capability perspective</w:t>
            </w:r>
            <w:r>
              <w:rPr>
                <w:rFonts w:hint="eastAsia"/>
                <w:sz w:val="20"/>
                <w:lang w:eastAsia="zh-CN"/>
              </w:rPr>
              <w:t>, the UE support of positioning SRS bandwidth aggregation in RRC_CONNECTED state is decoupled from the UE support of communication CA.</w:t>
            </w:r>
          </w:p>
          <w:p>
            <w:pPr>
              <w:pStyle w:val="139"/>
              <w:snapToGrid w:val="0"/>
              <w:spacing w:after="0"/>
              <w:ind w:left="0"/>
              <w:jc w:val="both"/>
              <w:rPr>
                <w:sz w:val="20"/>
                <w:lang w:eastAsia="zh-CN"/>
              </w:rPr>
            </w:pPr>
          </w:p>
          <w:p>
            <w:pPr>
              <w:overflowPunct w:val="0"/>
              <w:autoSpaceDE w:val="0"/>
              <w:autoSpaceDN w:val="0"/>
              <w:adjustRightInd w:val="0"/>
              <w:snapToGrid w:val="0"/>
              <w:ind w:left="284" w:hanging="284"/>
              <w:jc w:val="both"/>
              <w:textAlignment w:val="baseline"/>
              <w:rPr>
                <w:rFonts w:eastAsia="宋体"/>
                <w:sz w:val="20"/>
                <w:szCs w:val="20"/>
                <w:u w:val="single"/>
              </w:rPr>
            </w:pPr>
            <w:r>
              <w:rPr>
                <w:rFonts w:hint="eastAsia" w:eastAsia="宋体"/>
                <w:b/>
                <w:bCs/>
                <w:sz w:val="20"/>
                <w:szCs w:val="20"/>
                <w:u w:val="single"/>
              </w:rPr>
              <w:t>Agreement</w:t>
            </w:r>
          </w:p>
          <w:p>
            <w:pPr>
              <w:snapToGrid w:val="0"/>
              <w:jc w:val="both"/>
              <w:rPr>
                <w:rFonts w:eastAsia="宋体"/>
                <w:sz w:val="20"/>
                <w:szCs w:val="20"/>
              </w:rPr>
            </w:pPr>
            <w:r>
              <w:rPr>
                <w:rFonts w:hint="eastAsia" w:eastAsia="宋体"/>
                <w:sz w:val="20"/>
                <w:szCs w:val="20"/>
              </w:rPr>
              <w:t>For a carrier including positioning SRS for aggregation,</w:t>
            </w:r>
          </w:p>
          <w:p>
            <w:pPr>
              <w:numPr>
                <w:ilvl w:val="0"/>
                <w:numId w:val="45"/>
              </w:numPr>
              <w:snapToGrid w:val="0"/>
              <w:contextualSpacing/>
              <w:textAlignment w:val="baseline"/>
              <w:rPr>
                <w:sz w:val="20"/>
                <w:szCs w:val="20"/>
              </w:rPr>
            </w:pPr>
            <w:r>
              <w:rPr>
                <w:rFonts w:hint="eastAsia"/>
                <w:sz w:val="20"/>
                <w:szCs w:val="20"/>
              </w:rPr>
              <w:t>Positioning SRS can be transmitted only when the carrier is activated</w:t>
            </w:r>
          </w:p>
          <w:p>
            <w:pPr>
              <w:numPr>
                <w:ilvl w:val="1"/>
                <w:numId w:val="45"/>
              </w:numPr>
              <w:snapToGrid w:val="0"/>
              <w:contextualSpacing/>
              <w:textAlignment w:val="baseline"/>
              <w:rPr>
                <w:sz w:val="20"/>
                <w:szCs w:val="20"/>
              </w:rPr>
            </w:pPr>
            <w:r>
              <w:rPr>
                <w:rFonts w:hint="eastAsia"/>
                <w:sz w:val="20"/>
                <w:szCs w:val="20"/>
              </w:rPr>
              <w:t>This is also applicable for the carrier only including positioning SRS for aggregation</w:t>
            </w:r>
          </w:p>
          <w:p>
            <w:pPr>
              <w:pStyle w:val="139"/>
              <w:snapToGrid w:val="0"/>
              <w:spacing w:after="0"/>
              <w:ind w:left="0"/>
              <w:jc w:val="both"/>
              <w:rPr>
                <w:sz w:val="20"/>
                <w:lang w:eastAsia="zh-CN"/>
              </w:rPr>
            </w:pPr>
          </w:p>
          <w:p>
            <w:pPr>
              <w:snapToGrid w:val="0"/>
              <w:jc w:val="both"/>
              <w:rPr>
                <w:rFonts w:eastAsia="宋体"/>
                <w:b/>
                <w:bCs/>
                <w:sz w:val="20"/>
                <w:szCs w:val="20"/>
                <w:u w:val="single"/>
              </w:rPr>
            </w:pPr>
            <w:r>
              <w:rPr>
                <w:rFonts w:hint="eastAsia"/>
                <w:b/>
                <w:bCs/>
                <w:sz w:val="20"/>
                <w:szCs w:val="20"/>
                <w:u w:val="single"/>
              </w:rPr>
              <w:t>Agreement</w:t>
            </w:r>
          </w:p>
          <w:p>
            <w:pPr>
              <w:pStyle w:val="139"/>
              <w:snapToGrid w:val="0"/>
              <w:spacing w:after="0"/>
              <w:ind w:left="0"/>
              <w:jc w:val="both"/>
              <w:rPr>
                <w:sz w:val="20"/>
              </w:rPr>
            </w:pPr>
            <w:r>
              <w:rPr>
                <w:rFonts w:hint="eastAsia"/>
                <w:sz w:val="20"/>
              </w:rPr>
              <w:t xml:space="preserve">To support intra-band contiguous SRS bandwidth aggregation for UE in RRC_INACTIVE state, frequency information </w:t>
            </w:r>
            <w:r>
              <w:rPr>
                <w:rFonts w:hint="eastAsia" w:eastAsia="等线"/>
                <w:iCs/>
                <w:sz w:val="20"/>
              </w:rPr>
              <w:t>(e.g. point A, offset to carrier)</w:t>
            </w:r>
            <w:r>
              <w:rPr>
                <w:rFonts w:hint="eastAsia"/>
                <w:sz w:val="20"/>
              </w:rPr>
              <w:t xml:space="preserve"> of one or two additional carriers with respective SRS configurations should be provided to </w:t>
            </w:r>
            <w:r>
              <w:rPr>
                <w:rFonts w:hint="eastAsia"/>
                <w:iCs/>
                <w:sz w:val="20"/>
              </w:rPr>
              <w:t>the UE</w:t>
            </w:r>
            <w:r>
              <w:rPr>
                <w:rFonts w:hint="eastAsia"/>
                <w:sz w:val="20"/>
              </w:rPr>
              <w:t>, where the newly introduced carrier(s) and the carrier of the initial BWP should be intra-band contiguous carriers.</w:t>
            </w:r>
          </w:p>
          <w:p>
            <w:pPr>
              <w:pStyle w:val="139"/>
              <w:snapToGrid w:val="0"/>
              <w:spacing w:after="0"/>
              <w:ind w:left="0"/>
              <w:jc w:val="both"/>
              <w:rPr>
                <w:sz w:val="20"/>
              </w:rPr>
            </w:pPr>
          </w:p>
          <w:p>
            <w:pPr>
              <w:pStyle w:val="27"/>
              <w:overflowPunct w:val="0"/>
              <w:autoSpaceDE w:val="0"/>
              <w:autoSpaceDN w:val="0"/>
              <w:adjustRightInd w:val="0"/>
              <w:snapToGrid w:val="0"/>
              <w:ind w:left="284" w:hanging="284"/>
              <w:jc w:val="both"/>
              <w:textAlignment w:val="baseline"/>
              <w:rPr>
                <w:rFonts w:ascii="Times New Roman" w:hAnsi="Times New Roman" w:eastAsia="Times" w:cs="Times New Roman"/>
                <w:sz w:val="20"/>
                <w:szCs w:val="20"/>
                <w:u w:val="single"/>
              </w:rPr>
            </w:pPr>
            <w:r>
              <w:rPr>
                <w:rFonts w:hint="eastAsia" w:ascii="Times New Roman" w:hAnsi="Times New Roman" w:eastAsia="Times" w:cs="Times New Roman"/>
                <w:b/>
                <w:bCs/>
                <w:sz w:val="20"/>
                <w:szCs w:val="20"/>
                <w:u w:val="single"/>
                <w:lang w:bidi="ar"/>
              </w:rPr>
              <w:t>Agreement</w:t>
            </w:r>
          </w:p>
          <w:p>
            <w:pPr>
              <w:snapToGrid w:val="0"/>
              <w:jc w:val="both"/>
              <w:rPr>
                <w:rFonts w:eastAsia="宋体"/>
                <w:sz w:val="20"/>
                <w:szCs w:val="20"/>
              </w:rPr>
            </w:pPr>
            <w:r>
              <w:rPr>
                <w:rFonts w:hint="eastAsia" w:eastAsia="宋体"/>
                <w:sz w:val="20"/>
                <w:szCs w:val="20"/>
                <w:lang w:bidi="ar"/>
              </w:rPr>
              <w:t>For a carrier including positioning SRS for aggregation,</w:t>
            </w:r>
          </w:p>
          <w:p>
            <w:pPr>
              <w:pStyle w:val="27"/>
              <w:numPr>
                <w:ilvl w:val="0"/>
                <w:numId w:val="46"/>
              </w:numPr>
              <w:snapToGrid w:val="0"/>
              <w:contextualSpacing/>
              <w:textAlignment w:val="baseline"/>
              <w:rPr>
                <w:rFonts w:ascii="Times New Roman" w:hAnsi="Times New Roman" w:cs="Times New Roman"/>
                <w:sz w:val="20"/>
                <w:szCs w:val="20"/>
              </w:rPr>
            </w:pPr>
            <w:r>
              <w:rPr>
                <w:rFonts w:hint="eastAsia" w:ascii="Times New Roman" w:hAnsi="Times New Roman" w:cs="Times New Roman"/>
                <w:sz w:val="20"/>
                <w:szCs w:val="20"/>
              </w:rPr>
              <w:t>Positioning SRS can be transmitted only when the carrier is activated</w:t>
            </w:r>
          </w:p>
          <w:p>
            <w:pPr>
              <w:pStyle w:val="27"/>
              <w:numPr>
                <w:ilvl w:val="1"/>
                <w:numId w:val="46"/>
              </w:numPr>
              <w:snapToGrid w:val="0"/>
              <w:contextualSpacing/>
              <w:textAlignment w:val="baseline"/>
              <w:rPr>
                <w:rFonts w:ascii="Times New Roman" w:hAnsi="Times New Roman" w:cs="Times New Roman"/>
                <w:sz w:val="20"/>
                <w:szCs w:val="20"/>
              </w:rPr>
            </w:pPr>
            <w:r>
              <w:rPr>
                <w:rFonts w:hint="eastAsia" w:ascii="Times New Roman" w:hAnsi="Times New Roman" w:cs="Times New Roman"/>
                <w:sz w:val="20"/>
                <w:szCs w:val="20"/>
              </w:rPr>
              <w:t>This is also applicable for the carrier only including positioning SRS for aggregation</w:t>
            </w:r>
          </w:p>
          <w:p>
            <w:pPr>
              <w:pStyle w:val="139"/>
              <w:snapToGrid w:val="0"/>
              <w:spacing w:after="0"/>
              <w:ind w:left="0"/>
              <w:jc w:val="both"/>
              <w:rPr>
                <w:sz w:val="20"/>
                <w:lang w:eastAsia="zh-CN"/>
              </w:rPr>
            </w:pPr>
          </w:p>
        </w:tc>
      </w:tr>
    </w:tbl>
    <w:p>
      <w:pPr>
        <w:snapToGrid w:val="0"/>
      </w:pPr>
    </w:p>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rPr>
          <w:rFonts w:eastAsia="宋体"/>
          <w:bCs/>
          <w:sz w:val="20"/>
          <w:szCs w:val="20"/>
        </w:rPr>
      </w:pPr>
      <w:r>
        <w:rPr>
          <w:rFonts w:hint="eastAsia" w:eastAsia="宋体"/>
          <w:bCs/>
          <w:sz w:val="20"/>
          <w:szCs w:val="20"/>
        </w:rPr>
        <w:t xml:space="preserve">Ericsson suggests that </w:t>
      </w:r>
      <w:r>
        <w:rPr>
          <w:rFonts w:hint="eastAsia" w:eastAsia="宋体"/>
          <w:b/>
          <w:sz w:val="20"/>
          <w:szCs w:val="20"/>
        </w:rPr>
        <w:t>t</w:t>
      </w:r>
      <w:r>
        <w:rPr>
          <w:b/>
          <w:sz w:val="20"/>
          <w:szCs w:val="20"/>
        </w:rPr>
        <w:t>he UE continues transmitting SRS on the UL carrier frequency configured for both SRS bandwidth aggregation and the multicarrier communication during the PRS/SRS bandwidth aggregation even if that UL carrier frequency is deactivated by gNB</w:t>
      </w:r>
      <w:r>
        <w:rPr>
          <w:rFonts w:hint="eastAsia" w:eastAsia="宋体"/>
          <w:bCs/>
          <w:sz w:val="20"/>
          <w:szCs w:val="20"/>
        </w:rPr>
        <w:t>. FL thinks it is not aligned with the previous agreement that the positioning SRS can be transmitted only when the carrier is activated.</w:t>
      </w:r>
    </w:p>
    <w:p>
      <w:pPr>
        <w:snapToGrid w:val="0"/>
        <w:rPr>
          <w:rFonts w:eastAsia="宋体"/>
          <w:bCs/>
          <w:sz w:val="20"/>
          <w:szCs w:val="20"/>
        </w:rPr>
      </w:pPr>
    </w:p>
    <w:p>
      <w:pPr>
        <w:snapToGrid w:val="0"/>
        <w:rPr>
          <w:rFonts w:eastAsia="宋体"/>
          <w:bCs/>
          <w:sz w:val="20"/>
          <w:szCs w:val="20"/>
        </w:rPr>
      </w:pPr>
      <w:r>
        <w:rPr>
          <w:rFonts w:hint="eastAsia" w:eastAsia="宋体"/>
          <w:bCs/>
          <w:sz w:val="20"/>
          <w:szCs w:val="20"/>
        </w:rPr>
        <w:t>vivo mentions the following suggestions. FL thinks it will be up to RAN2.</w:t>
      </w:r>
    </w:p>
    <w:p>
      <w:pPr>
        <w:numPr>
          <w:ilvl w:val="0"/>
          <w:numId w:val="7"/>
        </w:numPr>
        <w:snapToGrid w:val="0"/>
        <w:jc w:val="both"/>
        <w:rPr>
          <w:rFonts w:eastAsia="宋体"/>
          <w:bCs/>
          <w:sz w:val="20"/>
          <w:szCs w:val="20"/>
        </w:rPr>
      </w:pPr>
      <w:r>
        <w:rPr>
          <w:rFonts w:eastAsia="宋体"/>
          <w:bCs/>
          <w:sz w:val="20"/>
          <w:szCs w:val="20"/>
        </w:rPr>
        <w:t>If one or two additional carriers are activated for SRS bandwidth aggregation onl</w:t>
      </w:r>
      <w:r>
        <w:rPr>
          <w:rFonts w:hint="eastAsia" w:eastAsia="宋体"/>
          <w:bCs/>
          <w:sz w:val="20"/>
          <w:szCs w:val="20"/>
        </w:rPr>
        <w:t>y</w:t>
      </w:r>
    </w:p>
    <w:p>
      <w:pPr>
        <w:numPr>
          <w:ilvl w:val="1"/>
          <w:numId w:val="7"/>
        </w:numPr>
        <w:snapToGrid w:val="0"/>
        <w:jc w:val="both"/>
        <w:rPr>
          <w:rFonts w:eastAsia="宋体"/>
          <w:bCs/>
          <w:sz w:val="20"/>
          <w:szCs w:val="20"/>
        </w:rPr>
      </w:pPr>
      <w:r>
        <w:rPr>
          <w:rFonts w:hint="eastAsia" w:eastAsia="宋体"/>
          <w:bCs/>
          <w:sz w:val="20"/>
          <w:szCs w:val="20"/>
        </w:rPr>
        <w:t xml:space="preserve"> </w:t>
      </w:r>
      <w:r>
        <w:rPr>
          <w:rFonts w:eastAsia="宋体"/>
          <w:bCs/>
          <w:sz w:val="20"/>
          <w:szCs w:val="20"/>
        </w:rPr>
        <w:t xml:space="preserve">The legacy SCell operations </w:t>
      </w:r>
      <w:r>
        <w:rPr>
          <w:rFonts w:hint="eastAsia" w:eastAsia="宋体"/>
          <w:bCs/>
          <w:sz w:val="20"/>
          <w:szCs w:val="20"/>
        </w:rPr>
        <w:t>s</w:t>
      </w:r>
      <w:r>
        <w:rPr>
          <w:rFonts w:eastAsia="宋体"/>
          <w:bCs/>
          <w:sz w:val="20"/>
          <w:szCs w:val="20"/>
        </w:rPr>
        <w:t>uch as, e.g., PDCCH monitoring, PHR reporting, etc.  may not be applied</w:t>
      </w:r>
    </w:p>
    <w:p>
      <w:pPr>
        <w:numPr>
          <w:ilvl w:val="1"/>
          <w:numId w:val="7"/>
        </w:numPr>
        <w:snapToGrid w:val="0"/>
        <w:jc w:val="both"/>
        <w:rPr>
          <w:rFonts w:eastAsia="宋体"/>
          <w:bCs/>
          <w:sz w:val="20"/>
          <w:szCs w:val="20"/>
        </w:rPr>
      </w:pPr>
      <w:r>
        <w:rPr>
          <w:rFonts w:eastAsia="宋体"/>
          <w:bCs/>
          <w:sz w:val="20"/>
          <w:szCs w:val="20"/>
        </w:rPr>
        <w:t xml:space="preserve">The sCellDeactivationTimer may be </w:t>
      </w:r>
      <w:r>
        <w:rPr>
          <w:rFonts w:hint="eastAsia" w:eastAsia="宋体"/>
          <w:bCs/>
          <w:sz w:val="20"/>
          <w:szCs w:val="20"/>
        </w:rPr>
        <w:t>d</w:t>
      </w:r>
      <w:r>
        <w:rPr>
          <w:rFonts w:eastAsia="宋体"/>
          <w:bCs/>
          <w:sz w:val="20"/>
          <w:szCs w:val="20"/>
        </w:rPr>
        <w:t>i</w:t>
      </w:r>
      <w:r>
        <w:rPr>
          <w:rFonts w:hint="eastAsia" w:eastAsia="宋体"/>
          <w:bCs/>
          <w:sz w:val="20"/>
          <w:szCs w:val="20"/>
        </w:rPr>
        <w:t>sabled</w:t>
      </w:r>
      <w:r>
        <w:rPr>
          <w:rFonts w:eastAsia="宋体"/>
          <w:bCs/>
          <w:sz w:val="20"/>
          <w:szCs w:val="20"/>
        </w:rPr>
        <w:t xml:space="preserve"> </w:t>
      </w:r>
      <w:r>
        <w:rPr>
          <w:rFonts w:hint="eastAsia" w:eastAsia="宋体"/>
          <w:bCs/>
          <w:sz w:val="20"/>
          <w:szCs w:val="20"/>
        </w:rPr>
        <w:t>f</w:t>
      </w:r>
      <w:r>
        <w:rPr>
          <w:rFonts w:eastAsia="宋体"/>
          <w:bCs/>
          <w:sz w:val="20"/>
          <w:szCs w:val="20"/>
        </w:rPr>
        <w:t>o</w:t>
      </w:r>
      <w:r>
        <w:rPr>
          <w:rFonts w:hint="eastAsia" w:eastAsia="宋体"/>
          <w:bCs/>
          <w:sz w:val="20"/>
          <w:szCs w:val="20"/>
        </w:rPr>
        <w:t>r</w:t>
      </w:r>
      <w:r>
        <w:rPr>
          <w:rFonts w:eastAsia="宋体"/>
          <w:bCs/>
          <w:sz w:val="20"/>
          <w:szCs w:val="20"/>
        </w:rPr>
        <w:t xml:space="preserve"> </w:t>
      </w:r>
      <w:r>
        <w:rPr>
          <w:rFonts w:hint="eastAsia" w:eastAsia="宋体"/>
          <w:bCs/>
          <w:sz w:val="20"/>
          <w:szCs w:val="20"/>
        </w:rPr>
        <w:t>those</w:t>
      </w:r>
      <w:r>
        <w:rPr>
          <w:rFonts w:eastAsia="宋体"/>
          <w:bCs/>
          <w:sz w:val="20"/>
          <w:szCs w:val="20"/>
        </w:rPr>
        <w:t xml:space="preserve"> </w:t>
      </w:r>
      <w:r>
        <w:rPr>
          <w:rFonts w:hint="eastAsia" w:eastAsia="宋体"/>
          <w:bCs/>
          <w:sz w:val="20"/>
          <w:szCs w:val="20"/>
        </w:rPr>
        <w:t>carriers</w:t>
      </w:r>
    </w:p>
    <w:p>
      <w:pPr>
        <w:snapToGrid w:val="0"/>
        <w:rPr>
          <w:rFonts w:eastAsia="宋体"/>
        </w:rPr>
      </w:pPr>
    </w:p>
    <w:p>
      <w:pPr>
        <w:snapToGrid w:val="0"/>
        <w:rPr>
          <w:rFonts w:eastAsia="宋体"/>
          <w:bCs/>
          <w:sz w:val="20"/>
          <w:szCs w:val="20"/>
        </w:rPr>
      </w:pPr>
      <w:r>
        <w:rPr>
          <w:rFonts w:hint="eastAsia" w:eastAsia="宋体"/>
          <w:bCs/>
          <w:sz w:val="20"/>
          <w:szCs w:val="20"/>
        </w:rPr>
        <w:t>Lets see if more interest will be provided by other companies for both Ericsson and vivo</w:t>
      </w:r>
      <w:r>
        <w:rPr>
          <w:rFonts w:eastAsia="宋体"/>
          <w:bCs/>
          <w:sz w:val="20"/>
          <w:szCs w:val="20"/>
        </w:rPr>
        <w:t>’</w:t>
      </w:r>
      <w:r>
        <w:rPr>
          <w:rFonts w:hint="eastAsia" w:eastAsia="宋体"/>
          <w:bCs/>
          <w:sz w:val="20"/>
          <w:szCs w:val="20"/>
        </w:rPr>
        <w:t>s proposals.</w:t>
      </w:r>
    </w:p>
    <w:p>
      <w:pPr>
        <w:snapToGrid w:val="0"/>
        <w:rPr>
          <w:rFonts w:eastAsia="宋体"/>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vivo</w:t>
            </w:r>
          </w:p>
        </w:tc>
        <w:tc>
          <w:tcPr>
            <w:tcW w:w="7508" w:type="dxa"/>
            <w:vAlign w:val="center"/>
          </w:tcPr>
          <w:p>
            <w:pPr>
              <w:snapToGrid w:val="0"/>
              <w:rPr>
                <w:rFonts w:eastAsiaTheme="minorEastAsia"/>
                <w:iCs/>
                <w:sz w:val="18"/>
                <w:szCs w:val="18"/>
              </w:rPr>
            </w:pPr>
            <w:r>
              <w:rPr>
                <w:rFonts w:hint="eastAsia" w:eastAsiaTheme="minorEastAsia"/>
                <w:iCs/>
                <w:sz w:val="18"/>
                <w:szCs w:val="18"/>
              </w:rPr>
              <w:t>Based on the FL view, we prefer to send LS to RAN2 to check the issue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Ericson</w:t>
            </w:r>
          </w:p>
        </w:tc>
        <w:tc>
          <w:tcPr>
            <w:tcW w:w="7508" w:type="dxa"/>
            <w:vAlign w:val="center"/>
          </w:tcPr>
          <w:p>
            <w:pPr>
              <w:snapToGrid w:val="0"/>
              <w:rPr>
                <w:rFonts w:eastAsiaTheme="minorEastAsia"/>
                <w:iCs/>
                <w:sz w:val="18"/>
                <w:szCs w:val="18"/>
              </w:rPr>
            </w:pPr>
            <w:r>
              <w:rPr>
                <w:rFonts w:hint="eastAsia" w:eastAsiaTheme="minorEastAsia"/>
                <w:iCs/>
                <w:sz w:val="18"/>
                <w:szCs w:val="18"/>
              </w:rPr>
              <w:t>If it is up to RAN2, these can be discussed directly in RAN2.  We see no need for sending an LS to RAN2.</w:t>
            </w:r>
          </w:p>
        </w:tc>
      </w:tr>
    </w:tbl>
    <w:p>
      <w:pPr>
        <w:snapToGrid w:val="0"/>
        <w:rPr>
          <w:sz w:val="20"/>
          <w:lang w:val="en-GB"/>
        </w:rPr>
      </w:pPr>
    </w:p>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 xml:space="preserve">UE capability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rFonts w:hint="eastAsia"/>
                <w:iCs/>
                <w:sz w:val="20"/>
                <w:szCs w:val="20"/>
              </w:rPr>
              <w:t>Lenovo</w:t>
            </w:r>
          </w:p>
        </w:tc>
        <w:tc>
          <w:tcPr>
            <w:tcW w:w="8221" w:type="dxa"/>
            <w:vAlign w:val="center"/>
          </w:tcPr>
          <w:p>
            <w:pPr>
              <w:snapToGrid w:val="0"/>
              <w:spacing w:before="240"/>
              <w:jc w:val="both"/>
              <w:rPr>
                <w:iCs/>
                <w:sz w:val="20"/>
                <w:szCs w:val="20"/>
              </w:rPr>
            </w:pPr>
            <w:r>
              <w:rPr>
                <w:rFonts w:hint="eastAsia"/>
                <w:iCs/>
                <w:sz w:val="20"/>
                <w:szCs w:val="20"/>
              </w:rPr>
              <w:t>Proposal 2: Subject to UE capability, RAN1 to support any 2 or 3 combinations of currently supported PRB values in dl-PRS-ResourceBandwidth-r16 within the DL-PRS configuration to be used for PRS aggregation across 2 or 3 PFLs.</w:t>
            </w:r>
          </w:p>
          <w:p>
            <w:pPr>
              <w:snapToGrid w:val="0"/>
              <w:spacing w:before="240"/>
              <w:jc w:val="both"/>
              <w:rPr>
                <w:iCs/>
                <w:sz w:val="20"/>
                <w:szCs w:val="20"/>
              </w:rPr>
            </w:pPr>
            <w:r>
              <w:rPr>
                <w:rFonts w:hint="eastAsia"/>
                <w:iCs/>
                <w:sz w:val="20"/>
                <w:szCs w:val="20"/>
              </w:rPr>
              <w:t>Proposal 3: Support maximum number of aggregated PFLs = 3 as part of UE capability signalling to support PRS bandwidth aggregation measurement.</w:t>
            </w: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rFonts w:hint="eastAsia"/>
                <w:iCs/>
                <w:sz w:val="20"/>
                <w:szCs w:val="20"/>
              </w:rPr>
              <w:t>Apple</w:t>
            </w:r>
          </w:p>
        </w:tc>
        <w:tc>
          <w:tcPr>
            <w:tcW w:w="8221" w:type="dxa"/>
            <w:vAlign w:val="center"/>
          </w:tcPr>
          <w:p>
            <w:pPr>
              <w:tabs>
                <w:tab w:val="left" w:pos="640"/>
              </w:tabs>
              <w:snapToGrid w:val="0"/>
              <w:jc w:val="both"/>
              <w:rPr>
                <w:iCs/>
                <w:sz w:val="20"/>
                <w:szCs w:val="20"/>
              </w:rPr>
            </w:pPr>
            <w:r>
              <w:rPr>
                <w:rFonts w:hint="eastAsia"/>
                <w:iCs/>
                <w:sz w:val="20"/>
                <w:szCs w:val="20"/>
              </w:rPr>
              <w:t>Proposal 4: In Rel-16, UE DL PRS processing capability is defined for a single positioning frequency layer and a UE capability for simultaneous DL PRS processing across positioning frequency layers is not supported. Support for multiple PFL processing should be allowed  and the values of N and T may need to be adjusted to accommodate this where N is a duration of DL PRS symbols in ms processed every T ms for a given maximum bandwidth (B) in MHz supported by UE</w:t>
            </w:r>
          </w:p>
          <w:p>
            <w:pPr>
              <w:tabs>
                <w:tab w:val="left" w:pos="640"/>
              </w:tabs>
              <w:snapToGrid w:val="0"/>
              <w:jc w:val="both"/>
              <w:rPr>
                <w:iCs/>
                <w:sz w:val="20"/>
                <w:szCs w:val="20"/>
              </w:rPr>
            </w:pPr>
          </w:p>
          <w:p>
            <w:pPr>
              <w:tabs>
                <w:tab w:val="left" w:pos="640"/>
              </w:tabs>
              <w:snapToGrid w:val="0"/>
              <w:jc w:val="both"/>
              <w:rPr>
                <w:iCs/>
                <w:sz w:val="20"/>
                <w:szCs w:val="20"/>
              </w:rPr>
            </w:pPr>
            <w:r>
              <w:rPr>
                <w:rFonts w:hint="eastAsia"/>
                <w:iCs/>
                <w:sz w:val="20"/>
                <w:szCs w:val="20"/>
              </w:rPr>
              <w:t xml:space="preserve">Proposal 5: The UE may need to report  the number of DL PRS resources that it can process in a slot over the aggregated bandwidth. </w:t>
            </w:r>
          </w:p>
          <w:p>
            <w:pPr>
              <w:tabs>
                <w:tab w:val="left" w:pos="640"/>
              </w:tabs>
              <w:snapToGrid w:val="0"/>
              <w:jc w:val="both"/>
              <w:rPr>
                <w:iCs/>
                <w:sz w:val="20"/>
                <w:szCs w:val="20"/>
              </w:rPr>
            </w:pPr>
            <w:r>
              <w:rPr>
                <w:rFonts w:hint="eastAsia"/>
                <w:iCs/>
                <w:sz w:val="20"/>
                <w:szCs w:val="20"/>
              </w:rPr>
              <w:t xml:space="preserve">roposal 6: When a UE is configured with a number of PRS resources beyond its capability (FG 13-2,13-3,13-4 for AoD, TDOA, MRTT respectively), the UE assumes the DL-PRS Resources are sorted in a decreasing order of measurement priority. The maximum number and associated priority should be updated for PRS aggregation. </w:t>
            </w:r>
          </w:p>
          <w:p>
            <w:pPr>
              <w:tabs>
                <w:tab w:val="left" w:pos="640"/>
              </w:tabs>
              <w:snapToGrid w:val="0"/>
              <w:jc w:val="both"/>
              <w:rPr>
                <w:iCs/>
                <w:sz w:val="20"/>
                <w:szCs w:val="20"/>
              </w:rPr>
            </w:pPr>
          </w:p>
          <w:p>
            <w:pPr>
              <w:tabs>
                <w:tab w:val="left" w:pos="640"/>
              </w:tabs>
              <w:snapToGrid w:val="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iCs/>
                <w:sz w:val="20"/>
                <w:szCs w:val="20"/>
              </w:rPr>
            </w:pPr>
            <w:r>
              <w:rPr>
                <w:rFonts w:hint="eastAsia"/>
                <w:iCs/>
                <w:sz w:val="20"/>
                <w:szCs w:val="20"/>
              </w:rPr>
              <w:t>Xiaomi</w:t>
            </w:r>
          </w:p>
        </w:tc>
        <w:tc>
          <w:tcPr>
            <w:tcW w:w="8221" w:type="dxa"/>
            <w:vAlign w:val="center"/>
          </w:tcPr>
          <w:p>
            <w:pPr>
              <w:pStyle w:val="114"/>
              <w:snapToGrid w:val="0"/>
              <w:spacing w:before="0" w:after="120"/>
              <w:rPr>
                <w:iCs/>
                <w:sz w:val="20"/>
                <w:szCs w:val="20"/>
              </w:rPr>
            </w:pPr>
            <w:r>
              <w:rPr>
                <w:rFonts w:hint="eastAsia"/>
                <w:iCs/>
                <w:sz w:val="20"/>
                <w:szCs w:val="20"/>
              </w:rPr>
              <w:t>Proposal 6: Define a new UE capability to report the band combination, the maximum number of carriers, the supported combination set if more than one for PRS bandwidth aggregation.</w:t>
            </w:r>
          </w:p>
          <w:p>
            <w:pPr>
              <w:pStyle w:val="114"/>
              <w:snapToGrid w:val="0"/>
              <w:spacing w:before="0" w:after="120"/>
              <w:rPr>
                <w:iCs/>
                <w:sz w:val="20"/>
                <w:szCs w:val="20"/>
              </w:rPr>
            </w:pPr>
            <w:r>
              <w:rPr>
                <w:rFonts w:hint="eastAsia"/>
                <w:iCs/>
                <w:sz w:val="20"/>
                <w:szCs w:val="20"/>
              </w:rPr>
              <w:t>Proposal 13: Define a new UE capability to report the band combination, the maximum number of carriers, the supported combination set if more than one for SRS bandwidth aggregation.</w:t>
            </w:r>
          </w:p>
          <w:p>
            <w:pPr>
              <w:pStyle w:val="114"/>
              <w:snapToGrid w:val="0"/>
              <w:spacing w:before="0" w:after="0"/>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rPr>
                <w:rFonts w:eastAsia="宋体"/>
                <w:iCs/>
                <w:sz w:val="20"/>
                <w:szCs w:val="20"/>
              </w:rPr>
            </w:pPr>
            <w:r>
              <w:rPr>
                <w:rFonts w:hint="eastAsia" w:eastAsia="宋体"/>
                <w:iCs/>
                <w:sz w:val="20"/>
                <w:szCs w:val="20"/>
              </w:rPr>
              <w:t>ZTE</w:t>
            </w:r>
          </w:p>
        </w:tc>
        <w:tc>
          <w:tcPr>
            <w:tcW w:w="8221" w:type="dxa"/>
            <w:vAlign w:val="center"/>
          </w:tcPr>
          <w:p>
            <w:pPr>
              <w:snapToGrid w:val="0"/>
              <w:spacing w:before="120" w:after="120"/>
              <w:rPr>
                <w:rFonts w:eastAsiaTheme="minorEastAsia"/>
                <w:iCs/>
                <w:sz w:val="20"/>
                <w:szCs w:val="20"/>
              </w:rPr>
            </w:pPr>
            <w:r>
              <w:rPr>
                <w:rFonts w:hint="eastAsia"/>
                <w:iCs/>
                <w:sz w:val="20"/>
                <w:szCs w:val="20"/>
                <w:lang w:val="en-GB" w:eastAsia="sv-SE"/>
              </w:rPr>
              <w:t xml:space="preserve">Proposal </w:t>
            </w:r>
            <w:r>
              <w:rPr>
                <w:rFonts w:hint="eastAsia"/>
                <w:iCs/>
                <w:sz w:val="20"/>
                <w:szCs w:val="20"/>
              </w:rPr>
              <w:t>7: Split FG 41-4-1 into 41-4-1a, 1b and 1c for RRC_CONNECTED, RRC_INACTIVE and RRC_IDLE modes respectively, e.g. for 41-4-1a</w:t>
            </w:r>
          </w:p>
          <w:p>
            <w:pPr>
              <w:numPr>
                <w:ilvl w:val="0"/>
                <w:numId w:val="47"/>
              </w:numPr>
              <w:snapToGrid w:val="0"/>
              <w:spacing w:before="120" w:after="120"/>
              <w:rPr>
                <w:iCs/>
                <w:sz w:val="20"/>
                <w:szCs w:val="20"/>
              </w:rPr>
            </w:pPr>
            <w:r>
              <w:rPr>
                <w:rFonts w:hint="eastAsia"/>
                <w:iCs/>
                <w:sz w:val="20"/>
                <w:szCs w:val="20"/>
              </w:rPr>
              <w:t xml:space="preserve">Report the maximum number of aggregated PFLs F. </w:t>
            </w:r>
          </w:p>
          <w:p>
            <w:pPr>
              <w:numPr>
                <w:ilvl w:val="1"/>
                <w:numId w:val="47"/>
              </w:numPr>
              <w:snapToGrid w:val="0"/>
              <w:spacing w:before="120" w:after="120"/>
              <w:rPr>
                <w:iCs/>
                <w:sz w:val="20"/>
                <w:szCs w:val="20"/>
              </w:rPr>
            </w:pPr>
            <w:r>
              <w:rPr>
                <w:rFonts w:hint="eastAsia"/>
                <w:iCs/>
                <w:sz w:val="20"/>
                <w:szCs w:val="20"/>
              </w:rPr>
              <w:t xml:space="preserve">The maximum aggregated bandwidth can be derived from F and the maximum bandwidth reported by legacy FG 13-1. </w:t>
            </w:r>
          </w:p>
          <w:p>
            <w:pPr>
              <w:numPr>
                <w:ilvl w:val="0"/>
                <w:numId w:val="47"/>
              </w:numPr>
              <w:snapToGrid w:val="0"/>
              <w:spacing w:before="120" w:after="120"/>
              <w:rPr>
                <w:iCs/>
                <w:sz w:val="20"/>
                <w:szCs w:val="20"/>
              </w:rPr>
            </w:pPr>
            <w:r>
              <w:rPr>
                <w:rFonts w:hint="eastAsia"/>
                <w:iCs/>
                <w:sz w:val="20"/>
                <w:szCs w:val="20"/>
              </w:rPr>
              <w:t>Report the PRS processing time {N</w:t>
            </w:r>
            <w:r>
              <w:rPr>
                <w:rFonts w:hint="eastAsia"/>
                <w:iCs/>
                <w:sz w:val="20"/>
                <w:szCs w:val="20"/>
                <w:vertAlign w:val="subscript"/>
              </w:rPr>
              <w:t>Agg</w:t>
            </w:r>
            <w:r>
              <w:rPr>
                <w:rFonts w:hint="eastAsia"/>
                <w:iCs/>
                <w:sz w:val="20"/>
                <w:szCs w:val="20"/>
              </w:rPr>
              <w:t>, T</w:t>
            </w:r>
            <w:r>
              <w:rPr>
                <w:rFonts w:hint="eastAsia"/>
                <w:iCs/>
                <w:sz w:val="20"/>
                <w:szCs w:val="20"/>
                <w:vertAlign w:val="subscript"/>
              </w:rPr>
              <w:t>Agg</w:t>
            </w:r>
            <w:r>
              <w:rPr>
                <w:rFonts w:hint="eastAsia"/>
                <w:iCs/>
                <w:sz w:val="20"/>
                <w:szCs w:val="20"/>
              </w:rPr>
              <w:t xml:space="preserve">} for aggregation. </w:t>
            </w:r>
          </w:p>
          <w:p>
            <w:pPr>
              <w:numPr>
                <w:ilvl w:val="1"/>
                <w:numId w:val="47"/>
              </w:numPr>
              <w:snapToGrid w:val="0"/>
              <w:spacing w:before="120" w:after="120"/>
              <w:rPr>
                <w:iCs/>
                <w:sz w:val="20"/>
                <w:szCs w:val="20"/>
              </w:rPr>
            </w:pPr>
            <w:r>
              <w:rPr>
                <w:rFonts w:hint="eastAsia"/>
                <w:iCs/>
                <w:sz w:val="20"/>
                <w:szCs w:val="20"/>
              </w:rPr>
              <w:t xml:space="preserve">Compared with {N, T} for single PFL, more UE processing time is needed for aggregation measurement. Hence, </w:t>
            </w:r>
            <w:r>
              <w:rPr>
                <w:rFonts w:hint="eastAsia"/>
                <w:iCs/>
                <w:color w:val="000000" w:themeColor="text1"/>
                <w:sz w:val="20"/>
                <w:szCs w:val="20"/>
                <w14:textFill>
                  <w14:solidFill>
                    <w14:schemeClr w14:val="tx1"/>
                  </w14:solidFill>
                </w14:textFill>
              </w:rPr>
              <w:t>N</w:t>
            </w:r>
            <w:r>
              <w:rPr>
                <w:rFonts w:hint="eastAsia"/>
                <w:iCs/>
                <w:color w:val="000000" w:themeColor="text1"/>
                <w:sz w:val="20"/>
                <w:szCs w:val="20"/>
                <w:vertAlign w:val="subscript"/>
                <w14:textFill>
                  <w14:solidFill>
                    <w14:schemeClr w14:val="tx1"/>
                  </w14:solidFill>
                </w14:textFill>
              </w:rPr>
              <w:t>Agg</w:t>
            </w:r>
            <w:r>
              <w:rPr>
                <w:rFonts w:hint="eastAsia"/>
                <w:iCs/>
                <w:sz w:val="20"/>
                <w:szCs w:val="20"/>
              </w:rPr>
              <w:t xml:space="preserve"> ≤ N or T</w:t>
            </w:r>
            <w:r>
              <w:rPr>
                <w:rFonts w:hint="eastAsia"/>
                <w:iCs/>
                <w:sz w:val="20"/>
                <w:szCs w:val="20"/>
                <w:vertAlign w:val="subscript"/>
              </w:rPr>
              <w:t>Agg</w:t>
            </w:r>
            <w:r>
              <w:rPr>
                <w:rFonts w:hint="eastAsia"/>
                <w:iCs/>
                <w:sz w:val="20"/>
                <w:szCs w:val="20"/>
              </w:rPr>
              <w:t>≥ T.</w:t>
            </w:r>
          </w:p>
          <w:p>
            <w:pPr>
              <w:numPr>
                <w:ilvl w:val="0"/>
                <w:numId w:val="47"/>
              </w:numPr>
              <w:snapToGrid w:val="0"/>
              <w:spacing w:before="120" w:after="120"/>
              <w:rPr>
                <w:iCs/>
                <w:sz w:val="20"/>
                <w:szCs w:val="20"/>
              </w:rPr>
            </w:pPr>
            <w:r>
              <w:rPr>
                <w:rFonts w:hint="eastAsia"/>
                <w:iCs/>
                <w:sz w:val="20"/>
                <w:szCs w:val="20"/>
              </w:rPr>
              <w:t>Report the maximum number of DL PRS resources M</w:t>
            </w:r>
            <w:r>
              <w:rPr>
                <w:rFonts w:hint="eastAsia"/>
                <w:iCs/>
                <w:sz w:val="20"/>
                <w:szCs w:val="20"/>
                <w:vertAlign w:val="subscript"/>
              </w:rPr>
              <w:t>Agg</w:t>
            </w:r>
            <w:r>
              <w:rPr>
                <w:rFonts w:hint="eastAsia"/>
                <w:iCs/>
                <w:sz w:val="20"/>
                <w:szCs w:val="20"/>
              </w:rPr>
              <w:t xml:space="preserve"> that UE can process in a slot for PFL aggregation</w:t>
            </w:r>
          </w:p>
          <w:p>
            <w:pPr>
              <w:numPr>
                <w:ilvl w:val="1"/>
                <w:numId w:val="47"/>
              </w:numPr>
              <w:snapToGrid w:val="0"/>
              <w:spacing w:before="120" w:after="120"/>
              <w:rPr>
                <w:iCs/>
                <w:sz w:val="20"/>
                <w:szCs w:val="20"/>
              </w:rPr>
            </w:pPr>
            <w:r>
              <w:rPr>
                <w:rFonts w:hint="eastAsia"/>
                <w:iCs/>
                <w:sz w:val="20"/>
                <w:szCs w:val="20"/>
              </w:rPr>
              <w:t>Compared with single PFL measurement, more UE memory/complexity is needed, so less resources may be processed. Hence, M</w:t>
            </w:r>
            <w:r>
              <w:rPr>
                <w:rFonts w:hint="eastAsia"/>
                <w:iCs/>
                <w:sz w:val="20"/>
                <w:szCs w:val="20"/>
                <w:vertAlign w:val="subscript"/>
              </w:rPr>
              <w:t>Agg</w:t>
            </w:r>
            <w:r>
              <w:rPr>
                <w:rFonts w:hint="eastAsia"/>
                <w:iCs/>
                <w:sz w:val="20"/>
                <w:szCs w:val="20"/>
              </w:rPr>
              <w:t xml:space="preserve"> ≤ M, where M is maximum number PRS resources for single PFL measurement reported by FG 13-1</w:t>
            </w:r>
          </w:p>
          <w:p>
            <w:pPr>
              <w:snapToGrid w:val="0"/>
              <w:ind w:left="1080"/>
              <w:contextualSpacing/>
              <w:jc w:val="both"/>
              <w:rPr>
                <w:iCs/>
                <w:sz w:val="20"/>
                <w:szCs w:val="20"/>
              </w:rPr>
            </w:pPr>
          </w:p>
        </w:tc>
      </w:tr>
    </w:tbl>
    <w:p>
      <w:pPr>
        <w:snapToGrid w:val="0"/>
      </w:pPr>
    </w:p>
    <w:p>
      <w:pPr>
        <w:snapToGrid w:val="0"/>
        <w:spacing w:before="180" w:beforeLines="50" w:after="180" w:afterLines="50"/>
        <w:jc w:val="both"/>
        <w:rPr>
          <w:iCs/>
          <w:sz w:val="20"/>
          <w:szCs w:val="20"/>
        </w:rPr>
      </w:pPr>
      <w:r>
        <w:rPr>
          <w:iCs/>
          <w:sz w:val="20"/>
          <w:szCs w:val="20"/>
        </w:rPr>
        <w:t>The following agreement has been agreed in RAN1#112</w:t>
      </w:r>
      <w:r>
        <w:rPr>
          <w:rFonts w:hint="eastAsia" w:eastAsia="宋体"/>
          <w:iCs/>
          <w:sz w:val="20"/>
          <w:szCs w:val="20"/>
        </w:rPr>
        <w:t>bis-e</w:t>
      </w:r>
      <w:r>
        <w:rPr>
          <w:iCs/>
          <w:sz w:val="20"/>
          <w:szCs w:val="20"/>
        </w:rPr>
        <w:t xml:space="preserve"> meeting.</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Introduce new UE capability(-ies) to support PRS bandwidth aggregation measurement</w:t>
            </w:r>
          </w:p>
          <w:p>
            <w:pPr>
              <w:numPr>
                <w:ilvl w:val="0"/>
                <w:numId w:val="12"/>
              </w:numPr>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12"/>
              </w:numPr>
              <w:rPr>
                <w:sz w:val="20"/>
                <w:szCs w:val="20"/>
              </w:rPr>
            </w:pPr>
            <w:r>
              <w:rPr>
                <w:rFonts w:hint="eastAsia"/>
                <w:sz w:val="20"/>
                <w:szCs w:val="20"/>
              </w:rPr>
              <w:t>FFS the details on the PFL bandwidth combinations, including maximum number of PFLs, the total aggregated bandwidth, etc.</w:t>
            </w:r>
          </w:p>
          <w:p>
            <w:pPr>
              <w:numPr>
                <w:ilvl w:val="0"/>
                <w:numId w:val="12"/>
              </w:numPr>
              <w:rPr>
                <w:sz w:val="20"/>
                <w:szCs w:val="20"/>
              </w:rPr>
            </w:pPr>
            <w:r>
              <w:rPr>
                <w:rFonts w:hint="eastAsia"/>
                <w:sz w:val="20"/>
                <w:szCs w:val="20"/>
              </w:rPr>
              <w:t>This is applicable for DL-TDOA and Multi-RTT positioning methods</w:t>
            </w:r>
          </w:p>
          <w:p>
            <w:pPr>
              <w:snapToGrid w:val="0"/>
              <w:ind w:left="777"/>
              <w:contextualSpacing/>
              <w:jc w:val="both"/>
              <w:rPr>
                <w:rFonts w:eastAsia="宋体"/>
                <w:sz w:val="20"/>
                <w:szCs w:val="20"/>
              </w:rPr>
            </w:pPr>
          </w:p>
        </w:tc>
      </w:tr>
    </w:tbl>
    <w:p>
      <w:pPr>
        <w:snapToGrid w:val="0"/>
      </w:pPr>
    </w:p>
    <w:p>
      <w:pPr>
        <w:pStyle w:val="40"/>
        <w:keepLines w:val="0"/>
        <w:numPr>
          <w:ilvl w:val="0"/>
          <w:numId w:val="0"/>
        </w:numPr>
        <w:snapToGrid w:val="0"/>
        <w:spacing w:before="180" w:after="180" w:line="240" w:lineRule="auto"/>
        <w:jc w:val="both"/>
        <w:rPr>
          <w:rFonts w:ascii="Arial" w:hAnsi="Arial" w:eastAsia="宋体" w:cs="Arial"/>
          <w:sz w:val="22"/>
          <w:szCs w:val="22"/>
          <w:lang w:val="en-GB"/>
        </w:rPr>
      </w:pPr>
      <w:r>
        <w:rPr>
          <w:rFonts w:ascii="Arial" w:hAnsi="Arial" w:eastAsia="宋体" w:cs="Arial"/>
          <w:sz w:val="22"/>
          <w:szCs w:val="22"/>
          <w:lang w:val="en-GB"/>
        </w:rPr>
        <w:t>Round 1</w:t>
      </w:r>
    </w:p>
    <w:p>
      <w:pPr>
        <w:snapToGrid w:val="0"/>
        <w:jc w:val="both"/>
        <w:rPr>
          <w:rFonts w:ascii="Times" w:hAnsi="Times" w:cs="Times"/>
          <w:b/>
          <w:sz w:val="20"/>
          <w:szCs w:val="20"/>
          <w:lang w:val="en-GB"/>
        </w:rPr>
      </w:pPr>
      <w:r>
        <w:rPr>
          <w:rFonts w:ascii="Times" w:hAnsi="Times" w:cs="Times"/>
          <w:b/>
          <w:sz w:val="20"/>
          <w:szCs w:val="20"/>
          <w:lang w:val="en-GB"/>
        </w:rPr>
        <w:t xml:space="preserve">FL comments: </w:t>
      </w:r>
    </w:p>
    <w:p>
      <w:pPr>
        <w:snapToGrid w:val="0"/>
        <w:jc w:val="both"/>
        <w:rPr>
          <w:rFonts w:ascii="Times" w:hAnsi="Times" w:eastAsia="宋体" w:cs="Times"/>
          <w:bCs/>
          <w:sz w:val="20"/>
          <w:szCs w:val="20"/>
        </w:rPr>
      </w:pPr>
      <w:r>
        <w:rPr>
          <w:rFonts w:ascii="Times" w:hAnsi="Times" w:eastAsia="宋体" w:cs="Times"/>
          <w:bCs/>
          <w:sz w:val="20"/>
          <w:szCs w:val="20"/>
        </w:rPr>
        <w:t>Since UE feature will be discussed in another agenda, and majority companies do not provide views in this agenda, lets wait the progress of UE feature agenda.</w:t>
      </w:r>
    </w:p>
    <w:p>
      <w:pPr>
        <w:snapToGrid w:val="0"/>
        <w:rPr>
          <w:rFonts w:eastAsia="宋体"/>
          <w:sz w:val="20"/>
          <w:szCs w:val="20"/>
          <w:lang w:val="en-GB"/>
        </w:rPr>
      </w:pP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iCs/>
                <w:sz w:val="18"/>
                <w:szCs w:val="18"/>
                <w:lang w:val="en-GB"/>
              </w:rPr>
            </w:pPr>
          </w:p>
        </w:tc>
      </w:tr>
    </w:tbl>
    <w:p>
      <w:pPr>
        <w:snapToGrid w:val="0"/>
        <w:rPr>
          <w:kern w:val="2"/>
          <w:sz w:val="20"/>
        </w:rPr>
      </w:pPr>
    </w:p>
    <w:p>
      <w:pPr>
        <w:snapToGrid w:val="0"/>
        <w:rPr>
          <w:kern w:val="2"/>
          <w:sz w:val="20"/>
          <w:lang w:val="en-GB"/>
        </w:rPr>
      </w:pPr>
    </w:p>
    <w:p>
      <w:pPr>
        <w:pStyle w:val="38"/>
        <w:numPr>
          <w:ilvl w:val="0"/>
          <w:numId w:val="3"/>
        </w:numPr>
        <w:snapToGrid w:val="0"/>
        <w:spacing w:before="180" w:after="180"/>
        <w:ind w:left="431" w:hanging="431"/>
        <w:rPr>
          <w:rFonts w:cs="Arial"/>
          <w:sz w:val="24"/>
          <w:szCs w:val="24"/>
          <w:lang w:val="en-US"/>
        </w:rPr>
      </w:pPr>
      <w:r>
        <w:rPr>
          <w:rFonts w:hint="eastAsia" w:cs="Arial"/>
          <w:sz w:val="24"/>
          <w:szCs w:val="24"/>
          <w:lang w:val="en-US"/>
        </w:rPr>
        <w:t>Others</w:t>
      </w:r>
    </w:p>
    <w:p>
      <w:pPr>
        <w:snapToGrid w:val="0"/>
        <w:spacing w:before="120" w:after="120"/>
        <w:jc w:val="both"/>
        <w:rPr>
          <w:rFonts w:eastAsia="宋体"/>
          <w:sz w:val="20"/>
          <w:szCs w:val="20"/>
        </w:rPr>
      </w:pPr>
      <w:r>
        <w:rPr>
          <w:rFonts w:hint="eastAsia" w:eastAsia="宋体"/>
          <w:sz w:val="20"/>
          <w:szCs w:val="20"/>
        </w:rPr>
        <w:t>If you think some proposals are missed in above sections, please provide your views below</w:t>
      </w:r>
    </w:p>
    <w:tbl>
      <w:tblPr>
        <w:tblStyle w:val="30"/>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iCs/>
                <w:sz w:val="18"/>
                <w:szCs w:val="18"/>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p>
        </w:tc>
        <w:tc>
          <w:tcPr>
            <w:tcW w:w="7508" w:type="dxa"/>
            <w:vAlign w:val="center"/>
          </w:tcPr>
          <w:p>
            <w:pPr>
              <w:snapToGrid w:val="0"/>
              <w:rPr>
                <w:rFonts w:eastAsiaTheme="minorEastAsia"/>
                <w:iCs/>
                <w:sz w:val="18"/>
                <w:szCs w:val="18"/>
                <w:lang w:val="en-GB"/>
              </w:rPr>
            </w:pPr>
          </w:p>
        </w:tc>
      </w:tr>
    </w:tbl>
    <w:p>
      <w:pPr>
        <w:snapToGrid w:val="0"/>
      </w:pPr>
    </w:p>
    <w:p>
      <w:pPr>
        <w:snapToGrid w:val="0"/>
      </w:pPr>
    </w:p>
    <w:p>
      <w:pPr>
        <w:pStyle w:val="38"/>
        <w:numPr>
          <w:ilvl w:val="0"/>
          <w:numId w:val="3"/>
        </w:numPr>
        <w:snapToGrid w:val="0"/>
        <w:spacing w:before="180" w:after="180"/>
        <w:ind w:left="431" w:hanging="431"/>
        <w:rPr>
          <w:rFonts w:cs="Arial"/>
          <w:sz w:val="24"/>
          <w:szCs w:val="24"/>
          <w:lang w:val="en-US"/>
        </w:rPr>
      </w:pPr>
      <w:r>
        <w:rPr>
          <w:rFonts w:cs="Arial"/>
          <w:sz w:val="24"/>
          <w:szCs w:val="24"/>
          <w:lang w:val="en-US"/>
        </w:rPr>
        <w:t>Previous agreement</w:t>
      </w: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p>
    <w:tbl>
      <w:tblPr>
        <w:tblStyle w:val="3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12"/>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12"/>
              </w:numPr>
              <w:snapToGrid w:val="0"/>
              <w:ind w:hanging="363"/>
              <w:contextualSpacing/>
              <w:jc w:val="both"/>
              <w:rPr>
                <w:rFonts w:eastAsia="宋体"/>
                <w:sz w:val="20"/>
                <w:szCs w:val="20"/>
              </w:rPr>
            </w:pPr>
            <w:r>
              <w:rPr>
                <w:rFonts w:hint="eastAsia" w:eastAsia="宋体"/>
                <w:sz w:val="20"/>
                <w:szCs w:val="20"/>
              </w:rPr>
              <w:t>The same QCL</w:t>
            </w:r>
          </w:p>
          <w:p>
            <w:pPr>
              <w:numPr>
                <w:ilvl w:val="0"/>
                <w:numId w:val="12"/>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12"/>
              </w:numPr>
              <w:snapToGrid w:val="0"/>
              <w:contextualSpacing/>
              <w:jc w:val="both"/>
              <w:rPr>
                <w:rFonts w:eastAsia="宋体"/>
                <w:sz w:val="20"/>
                <w:szCs w:val="20"/>
              </w:rPr>
            </w:pPr>
            <w:r>
              <w:rPr>
                <w:rFonts w:hint="eastAsia"/>
                <w:sz w:val="20"/>
                <w:szCs w:val="20"/>
              </w:rPr>
              <w:t>FFS: the same periodicity and slot offset</w:t>
            </w:r>
          </w:p>
          <w:p>
            <w:pPr>
              <w:numPr>
                <w:ilvl w:val="0"/>
                <w:numId w:val="12"/>
              </w:numPr>
              <w:snapToGrid w:val="0"/>
              <w:contextualSpacing/>
              <w:jc w:val="both"/>
              <w:rPr>
                <w:rFonts w:eastAsia="宋体"/>
                <w:sz w:val="20"/>
                <w:szCs w:val="20"/>
              </w:rPr>
            </w:pPr>
            <w:r>
              <w:rPr>
                <w:rFonts w:hint="eastAsia"/>
                <w:sz w:val="20"/>
                <w:szCs w:val="20"/>
              </w:rPr>
              <w:t>FFS muting pattern</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12"/>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12"/>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12"/>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12"/>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12"/>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12"/>
              </w:numPr>
              <w:snapToGrid w:val="0"/>
              <w:contextualSpacing/>
              <w:jc w:val="both"/>
              <w:rPr>
                <w:rFonts w:eastAsia="宋体"/>
                <w:sz w:val="20"/>
                <w:szCs w:val="20"/>
              </w:rPr>
            </w:pPr>
            <w:r>
              <w:rPr>
                <w:rFonts w:hint="eastAsia" w:eastAsia="宋体"/>
                <w:sz w:val="20"/>
                <w:szCs w:val="20"/>
              </w:rPr>
              <w:t>FFS: The same gNB Rx TEG and the same UE Tx TEG</w:t>
            </w:r>
          </w:p>
          <w:p>
            <w:pPr>
              <w:pStyle w:val="139"/>
              <w:numPr>
                <w:ilvl w:val="1"/>
                <w:numId w:val="12"/>
              </w:numPr>
              <w:snapToGrid w:val="0"/>
              <w:spacing w:after="0"/>
              <w:jc w:val="both"/>
              <w:textAlignment w:val="auto"/>
              <w:rPr>
                <w:bCs/>
                <w:iCs/>
                <w:sz w:val="20"/>
              </w:rPr>
            </w:pPr>
            <w:r>
              <w:rPr>
                <w:rFonts w:hint="eastAsia"/>
                <w:bCs/>
                <w:iCs/>
                <w:sz w:val="20"/>
              </w:rPr>
              <w:t>The same spatial relation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12"/>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12"/>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12"/>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39"/>
              <w:numPr>
                <w:ilvl w:val="0"/>
                <w:numId w:val="12"/>
              </w:numPr>
              <w:snapToGrid w:val="0"/>
              <w:spacing w:after="0"/>
              <w:jc w:val="both"/>
              <w:textAlignment w:val="auto"/>
              <w:rPr>
                <w:bCs/>
                <w:iCs/>
                <w:sz w:val="20"/>
              </w:rPr>
            </w:pPr>
            <w:r>
              <w:rPr>
                <w:rFonts w:hint="eastAsia"/>
                <w:bCs/>
                <w:iCs/>
                <w:sz w:val="20"/>
              </w:rPr>
              <w:t>The same Tx PSD (power per subcarrier)</w:t>
            </w:r>
          </w:p>
          <w:p>
            <w:pPr>
              <w:pStyle w:val="139"/>
              <w:numPr>
                <w:ilvl w:val="1"/>
                <w:numId w:val="12"/>
              </w:numPr>
              <w:snapToGrid w:val="0"/>
              <w:spacing w:after="0"/>
              <w:jc w:val="both"/>
              <w:textAlignment w:val="auto"/>
              <w:rPr>
                <w:bCs/>
                <w:iCs/>
                <w:sz w:val="20"/>
              </w:rPr>
            </w:pPr>
            <w:r>
              <w:rPr>
                <w:rFonts w:hint="eastAsia"/>
                <w:bCs/>
                <w:iCs/>
                <w:sz w:val="20"/>
              </w:rPr>
              <w:t>FFS whether to need the same pathloss RS, Po and alpha</w:t>
            </w:r>
          </w:p>
          <w:p>
            <w:pPr>
              <w:pStyle w:val="139"/>
              <w:numPr>
                <w:ilvl w:val="1"/>
                <w:numId w:val="12"/>
              </w:numPr>
              <w:snapToGrid w:val="0"/>
              <w:spacing w:after="0"/>
              <w:jc w:val="both"/>
              <w:textAlignment w:val="auto"/>
              <w:rPr>
                <w:bCs/>
                <w:iCs/>
                <w:sz w:val="20"/>
              </w:rPr>
            </w:pPr>
            <w:r>
              <w:rPr>
                <w:rFonts w:hint="eastAsia"/>
                <w:bCs/>
                <w:iCs/>
                <w:sz w:val="20"/>
              </w:rPr>
              <w:t>Note: the Tx PSD is not captured in RAN1 specifications</w:t>
            </w:r>
          </w:p>
          <w:p>
            <w:pPr>
              <w:pStyle w:val="139"/>
              <w:numPr>
                <w:ilvl w:val="0"/>
                <w:numId w:val="12"/>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12"/>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12"/>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12"/>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39"/>
              <w:numPr>
                <w:ilvl w:val="0"/>
                <w:numId w:val="18"/>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39"/>
              <w:numPr>
                <w:ilvl w:val="1"/>
                <w:numId w:val="18"/>
              </w:numPr>
              <w:snapToGrid w:val="0"/>
              <w:spacing w:after="0"/>
              <w:jc w:val="both"/>
              <w:rPr>
                <w:sz w:val="20"/>
              </w:rPr>
            </w:pPr>
            <w:r>
              <w:rPr>
                <w:rFonts w:hint="eastAsia"/>
                <w:sz w:val="20"/>
              </w:rPr>
              <w:t>FFS: RSRP, RSRPP</w:t>
            </w:r>
          </w:p>
          <w:p>
            <w:pPr>
              <w:pStyle w:val="139"/>
              <w:numPr>
                <w:ilvl w:val="0"/>
                <w:numId w:val="18"/>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39"/>
              <w:numPr>
                <w:ilvl w:val="0"/>
                <w:numId w:val="18"/>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39"/>
              <w:numPr>
                <w:ilvl w:val="0"/>
                <w:numId w:val="18"/>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12"/>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12"/>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39"/>
              <w:numPr>
                <w:ilvl w:val="0"/>
                <w:numId w:val="48"/>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39"/>
              <w:numPr>
                <w:ilvl w:val="1"/>
                <w:numId w:val="48"/>
              </w:numPr>
              <w:snapToGrid w:val="0"/>
              <w:spacing w:after="0"/>
              <w:rPr>
                <w:sz w:val="20"/>
              </w:rPr>
            </w:pPr>
            <w:r>
              <w:rPr>
                <w:rFonts w:hint="eastAsia"/>
                <w:sz w:val="20"/>
              </w:rPr>
              <w:t>FFS details</w:t>
            </w:r>
          </w:p>
          <w:p>
            <w:pPr>
              <w:pStyle w:val="139"/>
              <w:numPr>
                <w:ilvl w:val="0"/>
                <w:numId w:val="48"/>
              </w:numPr>
              <w:snapToGrid w:val="0"/>
              <w:spacing w:after="0"/>
              <w:rPr>
                <w:sz w:val="20"/>
              </w:rPr>
            </w:pPr>
            <w:r>
              <w:rPr>
                <w:rFonts w:hint="eastAsia"/>
                <w:sz w:val="20"/>
              </w:rPr>
              <w:t>Support preconfigured on-demand PRS across PFLs for PRS bandwidth aggregations</w:t>
            </w:r>
          </w:p>
          <w:p>
            <w:pPr>
              <w:pStyle w:val="139"/>
              <w:numPr>
                <w:ilvl w:val="1"/>
                <w:numId w:val="48"/>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39"/>
              <w:numPr>
                <w:ilvl w:val="0"/>
                <w:numId w:val="18"/>
              </w:numPr>
              <w:snapToGrid w:val="0"/>
              <w:spacing w:after="0"/>
              <w:jc w:val="both"/>
              <w:rPr>
                <w:sz w:val="20"/>
              </w:rPr>
            </w:pPr>
            <w:r>
              <w:rPr>
                <w:rFonts w:hint="eastAsia"/>
                <w:sz w:val="20"/>
              </w:rPr>
              <w:t>Single UL RTOA or gNB Rx-Tx time difference is reported for the SRS resources across aggregated carriers</w:t>
            </w:r>
          </w:p>
          <w:p>
            <w:pPr>
              <w:pStyle w:val="139"/>
              <w:numPr>
                <w:ilvl w:val="1"/>
                <w:numId w:val="18"/>
              </w:numPr>
              <w:snapToGrid w:val="0"/>
              <w:spacing w:after="0"/>
              <w:jc w:val="both"/>
              <w:rPr>
                <w:sz w:val="20"/>
              </w:rPr>
            </w:pPr>
            <w:r>
              <w:rPr>
                <w:rFonts w:hint="eastAsia"/>
                <w:sz w:val="20"/>
              </w:rPr>
              <w:t>FFS: RSRP or RSRPP</w:t>
            </w:r>
          </w:p>
          <w:p>
            <w:pPr>
              <w:pStyle w:val="139"/>
              <w:numPr>
                <w:ilvl w:val="0"/>
                <w:numId w:val="18"/>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39"/>
              <w:numPr>
                <w:ilvl w:val="0"/>
                <w:numId w:val="18"/>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39"/>
              <w:numPr>
                <w:ilvl w:val="0"/>
                <w:numId w:val="49"/>
              </w:numPr>
              <w:snapToGrid w:val="0"/>
              <w:spacing w:after="0"/>
              <w:jc w:val="both"/>
              <w:rPr>
                <w:sz w:val="20"/>
              </w:rPr>
            </w:pPr>
            <w:r>
              <w:rPr>
                <w:rFonts w:hint="eastAsia"/>
                <w:sz w:val="20"/>
              </w:rPr>
              <w:t>Support single MAC CE activating positioning SRS resource sets across the linked carriers</w:t>
            </w:r>
          </w:p>
          <w:p>
            <w:pPr>
              <w:pStyle w:val="139"/>
              <w:numPr>
                <w:ilvl w:val="0"/>
                <w:numId w:val="49"/>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39"/>
              <w:numPr>
                <w:ilvl w:val="0"/>
                <w:numId w:val="49"/>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39"/>
              <w:numPr>
                <w:ilvl w:val="0"/>
                <w:numId w:val="50"/>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39"/>
              <w:numPr>
                <w:ilvl w:val="0"/>
                <w:numId w:val="50"/>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rPr>
                <w:b/>
                <w:bCs/>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For PRS bandwidth aggregation across PFLs, select one of the following options in RAN1#113</w:t>
            </w:r>
          </w:p>
          <w:p>
            <w:pPr>
              <w:numPr>
                <w:ilvl w:val="0"/>
                <w:numId w:val="12"/>
              </w:numPr>
              <w:rPr>
                <w:bCs/>
                <w:sz w:val="20"/>
                <w:szCs w:val="20"/>
              </w:rPr>
            </w:pPr>
            <w:r>
              <w:rPr>
                <w:rFonts w:hint="eastAsia"/>
                <w:bCs/>
                <w:sz w:val="20"/>
                <w:szCs w:val="20"/>
              </w:rPr>
              <w:t>Option 2: Per TRP basis and per PRS resource set basis.</w:t>
            </w:r>
          </w:p>
          <w:p>
            <w:pPr>
              <w:numPr>
                <w:ilvl w:val="1"/>
                <w:numId w:val="12"/>
              </w:numPr>
              <w:rPr>
                <w:bCs/>
                <w:sz w:val="20"/>
                <w:szCs w:val="20"/>
              </w:rPr>
            </w:pPr>
            <w:r>
              <w:rPr>
                <w:rFonts w:hint="eastAsia"/>
                <w:bCs/>
                <w:sz w:val="20"/>
                <w:szCs w:val="20"/>
              </w:rPr>
              <w:t>For each TRP, support new signaling to indicate which PRS resource sets across PFLs are linked.</w:t>
            </w:r>
          </w:p>
          <w:p>
            <w:pPr>
              <w:numPr>
                <w:ilvl w:val="1"/>
                <w:numId w:val="12"/>
              </w:numPr>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12"/>
              </w:numPr>
              <w:rPr>
                <w:bCs/>
                <w:sz w:val="20"/>
                <w:szCs w:val="20"/>
              </w:rPr>
            </w:pPr>
            <w:r>
              <w:rPr>
                <w:rFonts w:hint="eastAsia"/>
                <w:bCs/>
                <w:sz w:val="20"/>
                <w:szCs w:val="20"/>
              </w:rPr>
              <w:t xml:space="preserve">Option 3: Per TRP basis and per PRS resource basis. </w:t>
            </w:r>
          </w:p>
          <w:p>
            <w:pPr>
              <w:numPr>
                <w:ilvl w:val="1"/>
                <w:numId w:val="12"/>
              </w:numPr>
              <w:rPr>
                <w:rFonts w:eastAsia="宋体"/>
                <w:iCs/>
                <w:sz w:val="20"/>
                <w:szCs w:val="20"/>
              </w:rPr>
            </w:pPr>
            <w:r>
              <w:rPr>
                <w:rFonts w:hint="eastAsia"/>
                <w:bCs/>
                <w:sz w:val="20"/>
                <w:szCs w:val="20"/>
              </w:rPr>
              <w:t>For each TRP, support new signaling to indicate which PRS resource(s) across PFLs are linked.</w:t>
            </w:r>
          </w:p>
          <w:p>
            <w:pPr>
              <w:numPr>
                <w:ilvl w:val="1"/>
                <w:numId w:val="12"/>
              </w:numPr>
              <w:rPr>
                <w:rFonts w:eastAsia="宋体"/>
                <w:iCs/>
                <w:sz w:val="20"/>
                <w:szCs w:val="20"/>
              </w:rPr>
            </w:pPr>
            <w:r>
              <w:rPr>
                <w:rFonts w:hint="eastAsia"/>
                <w:bCs/>
                <w:sz w:val="20"/>
                <w:szCs w:val="20"/>
              </w:rPr>
              <w:t>For the non-linked PRS resources, no aggregation is assumed even if the conditions are satisfied.</w:t>
            </w:r>
          </w:p>
          <w:p>
            <w:pPr>
              <w:rPr>
                <w:sz w:val="20"/>
                <w:szCs w:val="20"/>
              </w:rPr>
            </w:pPr>
          </w:p>
          <w:p>
            <w:pPr>
              <w:snapToGrid w:val="0"/>
              <w:jc w:val="both"/>
              <w:rPr>
                <w:b/>
                <w:bCs/>
                <w:sz w:val="20"/>
                <w:szCs w:val="20"/>
                <w:u w:val="single"/>
              </w:rPr>
            </w:pPr>
            <w:r>
              <w:rPr>
                <w:rFonts w:hint="eastAsia"/>
                <w:b/>
                <w:bCs/>
                <w:sz w:val="20"/>
                <w:szCs w:val="20"/>
                <w:u w:val="single"/>
              </w:rPr>
              <w:t xml:space="preserve">Conclusion </w:t>
            </w:r>
          </w:p>
          <w:p>
            <w:pPr>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12"/>
              </w:numPr>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12"/>
              </w:numPr>
              <w:rPr>
                <w:sz w:val="20"/>
                <w:szCs w:val="20"/>
              </w:rPr>
            </w:pPr>
            <w:r>
              <w:rPr>
                <w:rFonts w:hint="eastAsia"/>
                <w:sz w:val="20"/>
                <w:szCs w:val="20"/>
              </w:rPr>
              <w:t>Note: no RAN1 spec impact</w:t>
            </w:r>
          </w:p>
          <w:p>
            <w:pPr>
              <w:numPr>
                <w:ilvl w:val="0"/>
                <w:numId w:val="12"/>
              </w:numPr>
              <w:rPr>
                <w:sz w:val="20"/>
                <w:szCs w:val="20"/>
              </w:rPr>
            </w:pPr>
            <w:r>
              <w:rPr>
                <w:rFonts w:hint="eastAsia"/>
                <w:sz w:val="20"/>
                <w:szCs w:val="20"/>
              </w:rPr>
              <w:t>Send an LS to RAN4 to confirm RAN1’s understanding</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Support aperiodic positioning SRS for bandwidth aggregation for UEs in RRC_CONNECTED state.</w:t>
            </w:r>
          </w:p>
          <w:p>
            <w:pPr>
              <w:numPr>
                <w:ilvl w:val="0"/>
                <w:numId w:val="12"/>
              </w:numPr>
              <w:rPr>
                <w:sz w:val="20"/>
                <w:szCs w:val="20"/>
              </w:rPr>
            </w:pPr>
            <w:r>
              <w:rPr>
                <w:rFonts w:hint="eastAsia"/>
                <w:sz w:val="20"/>
                <w:szCs w:val="20"/>
              </w:rPr>
              <w:t>FFS the details</w:t>
            </w:r>
          </w:p>
          <w:p>
            <w:pPr>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39"/>
              <w:numPr>
                <w:ilvl w:val="0"/>
                <w:numId w:val="18"/>
              </w:numPr>
              <w:snapToGrid w:val="0"/>
              <w:jc w:val="both"/>
              <w:rPr>
                <w:sz w:val="20"/>
              </w:rPr>
            </w:pPr>
            <w:r>
              <w:rPr>
                <w:rFonts w:hint="eastAsia"/>
                <w:sz w:val="20"/>
              </w:rPr>
              <w:t xml:space="preserve">FFS: In a measurement report element, single RSRP or single RSRPP is reported </w:t>
            </w:r>
          </w:p>
          <w:p>
            <w:pPr>
              <w:pStyle w:val="139"/>
              <w:numPr>
                <w:ilvl w:val="0"/>
                <w:numId w:val="18"/>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39"/>
              <w:numPr>
                <w:ilvl w:val="0"/>
                <w:numId w:val="18"/>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39"/>
              <w:numPr>
                <w:ilvl w:val="0"/>
                <w:numId w:val="18"/>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39"/>
              <w:numPr>
                <w:ilvl w:val="1"/>
                <w:numId w:val="18"/>
              </w:numPr>
              <w:snapToGrid w:val="0"/>
              <w:jc w:val="both"/>
              <w:rPr>
                <w:sz w:val="20"/>
              </w:rPr>
            </w:pPr>
            <w:r>
              <w:rPr>
                <w:rFonts w:hint="eastAsia"/>
                <w:sz w:val="20"/>
              </w:rPr>
              <w:t>FFS RSTD reference is aggregated or not</w:t>
            </w:r>
          </w:p>
          <w:p>
            <w:pPr>
              <w:rPr>
                <w:sz w:val="20"/>
                <w:szCs w:val="20"/>
              </w:rPr>
            </w:pPr>
          </w:p>
          <w:p>
            <w:pPr>
              <w:snapToGrid w:val="0"/>
              <w:jc w:val="both"/>
              <w:rPr>
                <w:b/>
                <w:bCs/>
                <w:sz w:val="20"/>
                <w:szCs w:val="20"/>
                <w:u w:val="single"/>
              </w:rPr>
            </w:pPr>
            <w:r>
              <w:rPr>
                <w:rFonts w:hint="eastAsia"/>
                <w:b/>
                <w:bCs/>
                <w:sz w:val="20"/>
                <w:szCs w:val="20"/>
                <w:u w:val="single"/>
              </w:rPr>
              <w:t>Conclusion</w:t>
            </w:r>
          </w:p>
          <w:p>
            <w:pPr>
              <w:rPr>
                <w:sz w:val="20"/>
                <w:szCs w:val="20"/>
              </w:rPr>
            </w:pPr>
            <w:r>
              <w:rPr>
                <w:rFonts w:hint="eastAsia"/>
                <w:sz w:val="20"/>
                <w:szCs w:val="20"/>
              </w:rPr>
              <w:t>The details for on-demand PRS on PRS bandwidth aggregation are up to RAN2 and RAN3.</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For SRS bandwidth aggregation between SRS in two or three carriers, the aggregated SRS resources are of the same SRS resource-Type.</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8" o:spt="75" type="#_x0000_t75" style="height:12.2pt;width:35.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9" o:spt="75" type="#_x0000_t75" style="height:12.2pt;width:35.8pt;" filled="f" o:preferrelative="t" stroked="f" coordsize="21600,2160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12"/>
              </w:numPr>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12"/>
              </w:numPr>
              <w:rPr>
                <w:sz w:val="20"/>
                <w:szCs w:val="20"/>
              </w:rPr>
            </w:pPr>
            <w:r>
              <w:rPr>
                <w:rFonts w:hint="eastAsia"/>
                <w:sz w:val="20"/>
                <w:szCs w:val="20"/>
              </w:rPr>
              <w:t>FFS further details, e.g. power scaling between aggregated carriers</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Introduce new UE capability(-ies) to support PRS bandwidth aggregation measurement</w:t>
            </w:r>
          </w:p>
          <w:p>
            <w:pPr>
              <w:numPr>
                <w:ilvl w:val="0"/>
                <w:numId w:val="12"/>
              </w:numPr>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12"/>
              </w:numPr>
              <w:rPr>
                <w:sz w:val="20"/>
                <w:szCs w:val="20"/>
              </w:rPr>
            </w:pPr>
            <w:r>
              <w:rPr>
                <w:rFonts w:hint="eastAsia"/>
                <w:sz w:val="20"/>
                <w:szCs w:val="20"/>
              </w:rPr>
              <w:t>FFS the details on the PFL bandwidth combinations, including maximum number of PFLs, the total aggregated bandwidth, etc.</w:t>
            </w:r>
          </w:p>
          <w:p>
            <w:pPr>
              <w:numPr>
                <w:ilvl w:val="0"/>
                <w:numId w:val="12"/>
              </w:numPr>
              <w:rPr>
                <w:sz w:val="20"/>
                <w:szCs w:val="20"/>
              </w:rPr>
            </w:pPr>
            <w:r>
              <w:rPr>
                <w:rFonts w:hint="eastAsia"/>
                <w:sz w:val="20"/>
                <w:szCs w:val="20"/>
              </w:rPr>
              <w:t>This is applicable for DL-TDOA and Multi-RTT positioning methods</w:t>
            </w:r>
          </w:p>
          <w:p>
            <w:pPr>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Positioning SRS bandwidth aggregation is supported for UEs in RRC_CONNECTED.</w:t>
            </w:r>
          </w:p>
          <w:p>
            <w:pPr>
              <w:rPr>
                <w:sz w:val="20"/>
                <w:szCs w:val="20"/>
              </w:rPr>
            </w:pPr>
            <w:r>
              <w:rPr>
                <w:rFonts w:hint="eastAsia"/>
                <w:sz w:val="20"/>
                <w:szCs w:val="20"/>
              </w:rPr>
              <w:t>Positioning SRS bandwidth aggregation is supported for UEs in RRC_INACTIVE state.</w:t>
            </w:r>
          </w:p>
          <w:p>
            <w:pPr>
              <w:pStyle w:val="139"/>
              <w:numPr>
                <w:ilvl w:val="0"/>
                <w:numId w:val="51"/>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39"/>
              <w:numPr>
                <w:ilvl w:val="0"/>
                <w:numId w:val="52"/>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12"/>
              </w:numPr>
              <w:rPr>
                <w:sz w:val="20"/>
                <w:szCs w:val="20"/>
              </w:rPr>
            </w:pPr>
            <w:r>
              <w:rPr>
                <w:rFonts w:hint="eastAsia"/>
                <w:sz w:val="20"/>
                <w:szCs w:val="20"/>
              </w:rPr>
              <w:t>Alt. 1: Drop positioning measurement in all aggregated PFLs in the same symbol(s)</w:t>
            </w:r>
          </w:p>
          <w:p>
            <w:pPr>
              <w:numPr>
                <w:ilvl w:val="0"/>
                <w:numId w:val="12"/>
              </w:numPr>
              <w:rPr>
                <w:sz w:val="20"/>
                <w:szCs w:val="20"/>
              </w:rPr>
            </w:pPr>
            <w:r>
              <w:rPr>
                <w:rFonts w:hint="eastAsia"/>
                <w:sz w:val="20"/>
                <w:szCs w:val="20"/>
              </w:rPr>
              <w:t>Alt. 2: Still perform positioning measurement based on the remaining PRSs in other PFL(s)</w:t>
            </w:r>
          </w:p>
          <w:p>
            <w:pPr>
              <w:numPr>
                <w:ilvl w:val="0"/>
                <w:numId w:val="12"/>
              </w:numPr>
              <w:rPr>
                <w:sz w:val="20"/>
                <w:szCs w:val="20"/>
              </w:rPr>
            </w:pPr>
            <w:r>
              <w:rPr>
                <w:rFonts w:hint="eastAsia"/>
                <w:sz w:val="20"/>
                <w:szCs w:val="20"/>
              </w:rPr>
              <w:t>FFS the details and the difference between MG and PPW if PPW is supported</w:t>
            </w:r>
          </w:p>
          <w:p>
            <w:pPr>
              <w:numPr>
                <w:ilvl w:val="0"/>
                <w:numId w:val="12"/>
              </w:numPr>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84" w:name="OLE_LINK4"/>
            <w:r>
              <w:rPr>
                <w:rFonts w:hint="eastAsia" w:eastAsia="宋体"/>
                <w:sz w:val="20"/>
                <w:szCs w:val="20"/>
              </w:rPr>
              <w:t>For SRS bandwidth aggregation across two or three carriers, select one of the following options in RAN1#113 meeting</w:t>
            </w:r>
          </w:p>
          <w:p>
            <w:pPr>
              <w:pStyle w:val="139"/>
              <w:numPr>
                <w:ilvl w:val="0"/>
                <w:numId w:val="43"/>
              </w:numPr>
              <w:snapToGrid w:val="0"/>
              <w:spacing w:after="120"/>
              <w:ind w:hanging="357"/>
              <w:jc w:val="both"/>
              <w:rPr>
                <w:bCs/>
                <w:sz w:val="20"/>
              </w:rPr>
            </w:pPr>
            <w:r>
              <w:rPr>
                <w:rFonts w:hint="eastAsia"/>
                <w:bCs/>
                <w:sz w:val="20"/>
              </w:rPr>
              <w:t xml:space="preserve">Option 2: Per SRS resource set basis. </w:t>
            </w:r>
          </w:p>
          <w:p>
            <w:pPr>
              <w:pStyle w:val="139"/>
              <w:numPr>
                <w:ilvl w:val="1"/>
                <w:numId w:val="43"/>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39"/>
              <w:numPr>
                <w:ilvl w:val="1"/>
                <w:numId w:val="43"/>
              </w:numPr>
              <w:snapToGrid w:val="0"/>
              <w:spacing w:after="120"/>
              <w:jc w:val="both"/>
              <w:rPr>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39"/>
              <w:numPr>
                <w:ilvl w:val="0"/>
                <w:numId w:val="43"/>
              </w:numPr>
              <w:snapToGrid w:val="0"/>
              <w:spacing w:after="120"/>
              <w:ind w:hanging="357"/>
              <w:jc w:val="both"/>
              <w:rPr>
                <w:bCs/>
                <w:sz w:val="20"/>
              </w:rPr>
            </w:pPr>
            <w:r>
              <w:rPr>
                <w:rFonts w:hint="eastAsia"/>
                <w:bCs/>
                <w:sz w:val="20"/>
              </w:rPr>
              <w:t xml:space="preserve">Option 3: Per SRS resource basis. </w:t>
            </w:r>
          </w:p>
          <w:p>
            <w:pPr>
              <w:pStyle w:val="139"/>
              <w:numPr>
                <w:ilvl w:val="1"/>
                <w:numId w:val="43"/>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39"/>
              <w:numPr>
                <w:ilvl w:val="1"/>
                <w:numId w:val="43"/>
              </w:numPr>
              <w:snapToGrid w:val="0"/>
              <w:spacing w:after="120"/>
              <w:jc w:val="both"/>
              <w:rPr>
                <w:bCs/>
                <w:sz w:val="20"/>
              </w:rPr>
            </w:pPr>
            <w:r>
              <w:rPr>
                <w:rFonts w:hint="eastAsia"/>
                <w:bCs/>
                <w:sz w:val="20"/>
              </w:rPr>
              <w:t>For the non-linked SRS resources, no aggregation is assumed even if the conditions are satisfied</w:t>
            </w:r>
          </w:p>
          <w:bookmarkEnd w:id="84"/>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39"/>
              <w:numPr>
                <w:ilvl w:val="0"/>
                <w:numId w:val="18"/>
              </w:numPr>
              <w:snapToGrid w:val="0"/>
              <w:spacing w:after="120"/>
              <w:jc w:val="both"/>
              <w:rPr>
                <w:sz w:val="20"/>
              </w:rPr>
            </w:pPr>
            <w:r>
              <w:rPr>
                <w:rFonts w:hint="eastAsia"/>
                <w:sz w:val="20"/>
              </w:rPr>
              <w:t>FFS: Single RSRP or RSRPP is reported for the SRS resources across aggregated carriers</w:t>
            </w:r>
          </w:p>
          <w:p>
            <w:pPr>
              <w:pStyle w:val="139"/>
              <w:numPr>
                <w:ilvl w:val="0"/>
                <w:numId w:val="18"/>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4"/>
              <w:numPr>
                <w:ilvl w:val="0"/>
                <w:numId w:val="35"/>
              </w:numPr>
              <w:overflowPunct w:val="0"/>
              <w:spacing w:after="0"/>
              <w:textAlignment w:val="baseline"/>
              <w:rPr>
                <w:sz w:val="20"/>
                <w:szCs w:val="20"/>
              </w:rPr>
            </w:pPr>
            <w:r>
              <w:rPr>
                <w:rFonts w:hint="eastAsia"/>
                <w:sz w:val="20"/>
                <w:szCs w:val="20"/>
              </w:rPr>
              <w:t>Alt. 1: Stop SRS transmission in all aggregated carriers in the same symbol</w:t>
            </w:r>
          </w:p>
          <w:p>
            <w:pPr>
              <w:pStyle w:val="114"/>
              <w:numPr>
                <w:ilvl w:val="0"/>
                <w:numId w:val="35"/>
              </w:numPr>
              <w:overflowPunct w:val="0"/>
              <w:spacing w:after="0"/>
              <w:textAlignment w:val="baseline"/>
              <w:rPr>
                <w:sz w:val="20"/>
                <w:szCs w:val="20"/>
              </w:rPr>
            </w:pPr>
            <w:r>
              <w:rPr>
                <w:rFonts w:hint="eastAsia"/>
                <w:sz w:val="20"/>
                <w:szCs w:val="20"/>
              </w:rPr>
              <w:t>Alt. 2: SRS is still transmitted in other carriers in the same symbol</w:t>
            </w:r>
          </w:p>
          <w:p>
            <w:pPr>
              <w:pStyle w:val="114"/>
              <w:numPr>
                <w:ilvl w:val="1"/>
                <w:numId w:val="35"/>
              </w:numPr>
              <w:overflowPunct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4"/>
              <w:numPr>
                <w:ilvl w:val="0"/>
                <w:numId w:val="35"/>
              </w:numPr>
              <w:overflowPunct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12"/>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12"/>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12"/>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39"/>
              <w:numPr>
                <w:ilvl w:val="0"/>
                <w:numId w:val="12"/>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39"/>
              <w:numPr>
                <w:ilvl w:val="1"/>
                <w:numId w:val="12"/>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12"/>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12"/>
              </w:numPr>
              <w:snapToGrid w:val="0"/>
              <w:contextualSpacing/>
              <w:jc w:val="both"/>
              <w:rPr>
                <w:rFonts w:eastAsia="宋体"/>
                <w:sz w:val="20"/>
                <w:szCs w:val="20"/>
              </w:rPr>
            </w:pPr>
            <w:r>
              <w:rPr>
                <w:rFonts w:hint="eastAsia"/>
                <w:sz w:val="20"/>
                <w:szCs w:val="20"/>
              </w:rPr>
              <w:t>The same antenna port from RAN1 perspective</w:t>
            </w:r>
          </w:p>
          <w:p>
            <w:pPr>
              <w:numPr>
                <w:ilvl w:val="1"/>
                <w:numId w:val="12"/>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12"/>
              </w:numPr>
              <w:snapToGrid w:val="0"/>
              <w:contextualSpacing/>
              <w:jc w:val="both"/>
              <w:rPr>
                <w:rFonts w:eastAsia="宋体"/>
                <w:sz w:val="20"/>
                <w:szCs w:val="20"/>
              </w:rPr>
            </w:pPr>
            <w:r>
              <w:rPr>
                <w:rFonts w:hint="eastAsia"/>
                <w:sz w:val="20"/>
                <w:szCs w:val="20"/>
              </w:rPr>
              <w:t>The same periodicity and slot offset</w:t>
            </w:r>
          </w:p>
          <w:p>
            <w:pPr>
              <w:numPr>
                <w:ilvl w:val="0"/>
                <w:numId w:val="12"/>
              </w:numPr>
              <w:snapToGrid w:val="0"/>
              <w:contextualSpacing/>
              <w:jc w:val="both"/>
              <w:rPr>
                <w:rFonts w:eastAsia="宋体"/>
                <w:sz w:val="20"/>
                <w:szCs w:val="20"/>
              </w:rPr>
            </w:pPr>
            <w:r>
              <w:rPr>
                <w:rFonts w:hint="eastAsia"/>
                <w:sz w:val="20"/>
                <w:szCs w:val="20"/>
              </w:rPr>
              <w:t>The same muting pattern</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12"/>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12"/>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12"/>
              </w:numPr>
              <w:snapToGrid w:val="0"/>
              <w:ind w:left="114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12"/>
              </w:numPr>
              <w:snapToGrid w:val="0"/>
              <w:ind w:hanging="363"/>
              <w:contextualSpacing/>
              <w:jc w:val="both"/>
              <w:rPr>
                <w:rFonts w:eastAsia="宋体"/>
                <w:sz w:val="20"/>
                <w:szCs w:val="20"/>
              </w:rPr>
            </w:pPr>
            <w:r>
              <w:rPr>
                <w:rFonts w:hint="eastAsia" w:eastAsia="宋体"/>
                <w:sz w:val="20"/>
                <w:szCs w:val="20"/>
              </w:rPr>
              <w:t>Others if any</w:t>
            </w:r>
          </w:p>
          <w:p>
            <w:pPr>
              <w:rPr>
                <w:sz w:val="20"/>
                <w:szCs w:val="20"/>
              </w:rPr>
            </w:pPr>
          </w:p>
        </w:tc>
      </w:tr>
    </w:tbl>
    <w:p/>
    <w:p>
      <w:pPr>
        <w:pStyle w:val="39"/>
        <w:numPr>
          <w:ilvl w:val="1"/>
          <w:numId w:val="3"/>
        </w:numPr>
        <w:snapToGrid w:val="0"/>
        <w:spacing w:before="180" w:after="180" w:line="240" w:lineRule="auto"/>
        <w:ind w:left="578" w:hanging="578"/>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3</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eastAsia="Batang"/>
                <w:bCs/>
                <w:sz w:val="20"/>
                <w:szCs w:val="20"/>
                <w:lang w:bidi="ar"/>
              </w:rPr>
              <w:t xml:space="preserve">For PRS bandwidth aggregation between PRS in two or three different PFLs, the following are needed for the aggregated PRS resources </w:t>
            </w:r>
            <w:r>
              <w:rPr>
                <w:rFonts w:hint="eastAsia" w:eastAsia="宋体"/>
                <w:bCs/>
                <w:sz w:val="20"/>
                <w:szCs w:val="20"/>
                <w:lang w:bidi="ar"/>
              </w:rPr>
              <w:t xml:space="preserve">for </w:t>
            </w:r>
            <w:r>
              <w:rPr>
                <w:rFonts w:hint="eastAsia" w:eastAsia="Batang"/>
                <w:bCs/>
                <w:sz w:val="20"/>
                <w:szCs w:val="20"/>
                <w:lang w:bidi="ar"/>
              </w:rPr>
              <w:t>a TRP:</w:t>
            </w:r>
          </w:p>
          <w:p>
            <w:pPr>
              <w:numPr>
                <w:ilvl w:val="0"/>
                <w:numId w:val="42"/>
              </w:numPr>
              <w:tabs>
                <w:tab w:val="left" w:pos="720"/>
              </w:tabs>
              <w:snapToGrid w:val="0"/>
              <w:jc w:val="both"/>
              <w:rPr>
                <w:rFonts w:eastAsia="宋体"/>
                <w:sz w:val="20"/>
                <w:szCs w:val="20"/>
              </w:rPr>
            </w:pPr>
            <w:r>
              <w:rPr>
                <w:rFonts w:hint="eastAsia"/>
                <w:sz w:val="20"/>
                <w:szCs w:val="20"/>
              </w:rPr>
              <w:t>The same periodicity and slot offset</w:t>
            </w:r>
          </w:p>
          <w:p>
            <w:pPr>
              <w:numPr>
                <w:ilvl w:val="0"/>
                <w:numId w:val="42"/>
              </w:numPr>
              <w:tabs>
                <w:tab w:val="left" w:pos="720"/>
              </w:tabs>
              <w:snapToGrid w:val="0"/>
              <w:jc w:val="both"/>
              <w:rPr>
                <w:rFonts w:eastAsia="宋体"/>
                <w:sz w:val="20"/>
                <w:szCs w:val="20"/>
              </w:rPr>
            </w:pPr>
            <w:r>
              <w:rPr>
                <w:rFonts w:hint="eastAsia"/>
                <w:sz w:val="20"/>
                <w:szCs w:val="20"/>
              </w:rPr>
              <w:t>The same muting pattern</w:t>
            </w:r>
          </w:p>
          <w:p>
            <w:pPr>
              <w:numPr>
                <w:ilvl w:val="0"/>
                <w:numId w:val="42"/>
              </w:numPr>
              <w:tabs>
                <w:tab w:val="left" w:pos="720"/>
              </w:tabs>
              <w:snapToGrid w:val="0"/>
              <w:jc w:val="both"/>
              <w:rPr>
                <w:sz w:val="20"/>
                <w:szCs w:val="20"/>
              </w:rPr>
            </w:pPr>
            <w:r>
              <w:rPr>
                <w:rFonts w:hint="eastAsia"/>
                <w:sz w:val="20"/>
                <w:szCs w:val="20"/>
              </w:rPr>
              <w:t xml:space="preserve">The same </w:t>
            </w:r>
            <w:r>
              <w:rPr>
                <w:rFonts w:hint="eastAsia"/>
                <w:i/>
                <w:iCs/>
                <w:sz w:val="20"/>
                <w:szCs w:val="20"/>
              </w:rPr>
              <w:t>NR-DL-PRS-SFN0-Offset</w:t>
            </w:r>
            <w:r>
              <w:rPr>
                <w:rFonts w:hint="eastAsia"/>
                <w:sz w:val="20"/>
                <w:szCs w:val="20"/>
              </w:rPr>
              <w:t xml:space="preserve"> value</w:t>
            </w:r>
          </w:p>
          <w:p>
            <w:pPr>
              <w:pStyle w:val="27"/>
              <w:numPr>
                <w:ilvl w:val="0"/>
                <w:numId w:val="42"/>
              </w:numPr>
              <w:snapToGrid w:val="0"/>
              <w:ind w:hanging="363"/>
              <w:contextualSpacing/>
              <w:jc w:val="both"/>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42"/>
              </w:numPr>
              <w:tabs>
                <w:tab w:val="left" w:pos="720"/>
              </w:tabs>
              <w:snapToGrid w:val="0"/>
              <w:jc w:val="both"/>
              <w:rPr>
                <w:rFonts w:eastAsia="宋体"/>
                <w:sz w:val="20"/>
                <w:szCs w:val="20"/>
              </w:rPr>
            </w:pPr>
            <w:r>
              <w:rPr>
                <w:rFonts w:hint="eastAsia"/>
                <w:sz w:val="20"/>
                <w:szCs w:val="20"/>
              </w:rPr>
              <w:t>FFS same antenna port from RAN1 perspective</w:t>
            </w:r>
          </w:p>
          <w:p>
            <w:pPr>
              <w:snapToGrid w:val="0"/>
              <w:rPr>
                <w:sz w:val="20"/>
                <w:szCs w:val="20"/>
              </w:rPr>
            </w:pPr>
          </w:p>
          <w:p>
            <w:pPr>
              <w:snapToGrid w:val="0"/>
              <w:jc w:val="both"/>
              <w:rPr>
                <w:b/>
                <w:bCs/>
                <w:sz w:val="20"/>
                <w:szCs w:val="20"/>
                <w:u w:val="single"/>
              </w:rPr>
            </w:pPr>
            <w:bookmarkStart w:id="85" w:name="OLE_LINK10"/>
            <w:r>
              <w:rPr>
                <w:rFonts w:hint="eastAsia"/>
                <w:b/>
                <w:bCs/>
                <w:sz w:val="20"/>
                <w:szCs w:val="20"/>
                <w:u w:val="single"/>
              </w:rPr>
              <w:t>Agreement</w:t>
            </w:r>
          </w:p>
          <w:p>
            <w:pPr>
              <w:snapToGrid w:val="0"/>
              <w:rPr>
                <w:sz w:val="20"/>
                <w:szCs w:val="20"/>
              </w:rPr>
            </w:pPr>
            <w:r>
              <w:rPr>
                <w:rFonts w:hint="eastAsia" w:eastAsia="Batang"/>
                <w:sz w:val="20"/>
                <w:szCs w:val="20"/>
                <w:lang w:bidi="ar"/>
              </w:rPr>
              <w:t>For PRS bandwidth aggregation across PFLs, support</w:t>
            </w:r>
          </w:p>
          <w:p>
            <w:pPr>
              <w:numPr>
                <w:ilvl w:val="0"/>
                <w:numId w:val="42"/>
              </w:numPr>
              <w:tabs>
                <w:tab w:val="left" w:pos="720"/>
              </w:tabs>
              <w:snapToGrid w:val="0"/>
              <w:rPr>
                <w:rFonts w:eastAsia="Batang"/>
                <w:bCs/>
                <w:sz w:val="20"/>
                <w:szCs w:val="20"/>
                <w:lang w:eastAsia="en-US"/>
              </w:rPr>
            </w:pPr>
            <w:r>
              <w:rPr>
                <w:rFonts w:hint="eastAsia" w:eastAsia="Batang"/>
                <w:bCs/>
                <w:sz w:val="20"/>
                <w:szCs w:val="20"/>
                <w:lang w:eastAsia="en-US"/>
              </w:rPr>
              <w:t>Option 2: Per TRP basis and per PRS resource set basis.</w:t>
            </w:r>
          </w:p>
          <w:p>
            <w:pPr>
              <w:numPr>
                <w:ilvl w:val="1"/>
                <w:numId w:val="42"/>
              </w:numPr>
              <w:tabs>
                <w:tab w:val="left" w:pos="1440"/>
              </w:tabs>
              <w:snapToGrid w:val="0"/>
              <w:rPr>
                <w:rFonts w:eastAsia="Batang"/>
                <w:bCs/>
                <w:sz w:val="20"/>
                <w:szCs w:val="20"/>
                <w:lang w:eastAsia="en-US"/>
              </w:rPr>
            </w:pPr>
            <w:r>
              <w:rPr>
                <w:rFonts w:hint="eastAsia" w:eastAsia="Batang"/>
                <w:bCs/>
                <w:sz w:val="20"/>
                <w:szCs w:val="20"/>
                <w:lang w:eastAsia="en-US"/>
              </w:rPr>
              <w:t>For each TRP, support new signaling to indicate which PRS resource sets across PFLs are linked.</w:t>
            </w:r>
          </w:p>
          <w:p>
            <w:pPr>
              <w:numPr>
                <w:ilvl w:val="1"/>
                <w:numId w:val="42"/>
              </w:numPr>
              <w:tabs>
                <w:tab w:val="left" w:pos="1440"/>
              </w:tabs>
              <w:snapToGrid w:val="0"/>
              <w:rPr>
                <w:rFonts w:eastAsia="Batang"/>
                <w:bCs/>
                <w:sz w:val="20"/>
                <w:szCs w:val="20"/>
                <w:lang w:eastAsia="en-US"/>
              </w:rPr>
            </w:pPr>
            <w:r>
              <w:rPr>
                <w:rFonts w:hint="eastAsia"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85"/>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Batang"/>
                <w:sz w:val="20"/>
                <w:szCs w:val="20"/>
                <w:lang w:bidi="ar"/>
              </w:rPr>
              <w:t>For PRS bandwidth aggregation across PFLs, in a measurement report element, support</w:t>
            </w:r>
          </w:p>
          <w:p>
            <w:pPr>
              <w:pStyle w:val="27"/>
              <w:numPr>
                <w:ilvl w:val="0"/>
                <w:numId w:val="53"/>
              </w:numPr>
              <w:snapToGrid w:val="0"/>
              <w:contextualSpacing/>
              <w:jc w:val="both"/>
              <w:textAlignment w:val="baseline"/>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 xml:space="preserve">Single RSRP or single RSRPP </w:t>
            </w:r>
          </w:p>
          <w:p>
            <w:pPr>
              <w:pStyle w:val="27"/>
              <w:numPr>
                <w:ilvl w:val="1"/>
                <w:numId w:val="53"/>
              </w:numPr>
              <w:snapToGrid w:val="0"/>
              <w:contextualSpacing/>
              <w:jc w:val="both"/>
              <w:textAlignment w:val="baseline"/>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FFS: the single RSRP/RSRPP is based on aggregated PRS resources across aggregated PFLs</w:t>
            </w:r>
          </w:p>
          <w:p>
            <w:pPr>
              <w:pStyle w:val="27"/>
              <w:numPr>
                <w:ilvl w:val="0"/>
                <w:numId w:val="53"/>
              </w:numPr>
              <w:snapToGrid w:val="0"/>
              <w:contextualSpacing/>
              <w:jc w:val="both"/>
              <w:textAlignment w:val="baseline"/>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 xml:space="preserve">The aggregated reference RSTD </w:t>
            </w:r>
          </w:p>
          <w:p>
            <w:pPr>
              <w:pStyle w:val="27"/>
              <w:numPr>
                <w:ilvl w:val="0"/>
                <w:numId w:val="53"/>
              </w:numPr>
              <w:snapToGrid w:val="0"/>
              <w:contextualSpacing/>
              <w:jc w:val="both"/>
              <w:textAlignment w:val="baseline"/>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27"/>
              <w:numPr>
                <w:ilvl w:val="0"/>
                <w:numId w:val="54"/>
              </w:numPr>
              <w:snapToGrid w:val="0"/>
              <w:contextualSpacing/>
              <w:textAlignment w:val="baseline"/>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 xml:space="preserve">Send an LS to RAN4 with the above information and a request to provide the retuning time values needed. </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rFonts w:hint="eastAsia"/>
                <w:b/>
                <w:bCs/>
                <w:sz w:val="20"/>
                <w:szCs w:val="20"/>
                <w:u w:val="single"/>
              </w:rPr>
              <w:t>Agreement</w:t>
            </w:r>
          </w:p>
          <w:p>
            <w:pPr>
              <w:snapToGrid w:val="0"/>
              <w:rPr>
                <w:bCs/>
                <w:sz w:val="20"/>
                <w:szCs w:val="20"/>
              </w:rPr>
            </w:pPr>
            <w:r>
              <w:rPr>
                <w:rFonts w:hint="eastAsia"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rFonts w:hint="eastAsia"/>
                <w:b/>
                <w:bCs/>
                <w:sz w:val="20"/>
                <w:szCs w:val="20"/>
                <w:u w:val="single"/>
              </w:rPr>
              <w:t>Agreement</w:t>
            </w:r>
          </w:p>
          <w:p>
            <w:pPr>
              <w:snapToGrid w:val="0"/>
              <w:rPr>
                <w:bCs/>
                <w:sz w:val="20"/>
                <w:szCs w:val="20"/>
              </w:rPr>
            </w:pPr>
            <w:r>
              <w:rPr>
                <w:rFonts w:hint="eastAsia" w:eastAsia="宋体"/>
                <w:bCs/>
                <w:sz w:val="20"/>
                <w:szCs w:val="20"/>
                <w:lang w:bidi="ar"/>
              </w:rPr>
              <w:t>For PRS bandwidth aggregation, w</w:t>
            </w:r>
            <w:r>
              <w:rPr>
                <w:rFonts w:hint="eastAsia" w:eastAsia="Batang"/>
                <w:bCs/>
                <w:sz w:val="20"/>
                <w:szCs w:val="20"/>
                <w:lang w:bidi="ar"/>
              </w:rPr>
              <w:t>ith regards to the signaling in the location information request message, introduce the following:</w:t>
            </w:r>
          </w:p>
          <w:p>
            <w:pPr>
              <w:pStyle w:val="27"/>
              <w:numPr>
                <w:ilvl w:val="0"/>
                <w:numId w:val="53"/>
              </w:numPr>
              <w:snapToGrid w:val="0"/>
              <w:contextualSpacing/>
              <w:textAlignment w:val="baseline"/>
              <w:rPr>
                <w:rFonts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 xml:space="preserve">A request to indicate UE which two or three PFLs to be used for performing joint measurement </w:t>
            </w:r>
          </w:p>
          <w:p>
            <w:pPr>
              <w:pStyle w:val="27"/>
              <w:numPr>
                <w:ilvl w:val="0"/>
                <w:numId w:val="55"/>
              </w:numPr>
              <w:snapToGrid w:val="0"/>
              <w:contextualSpacing/>
              <w:textAlignment w:val="baseline"/>
              <w:rPr>
                <w:rFonts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27"/>
              <w:numPr>
                <w:ilvl w:val="1"/>
                <w:numId w:val="55"/>
              </w:numPr>
              <w:snapToGrid w:val="0"/>
              <w:contextualSpacing/>
              <w:textAlignment w:val="baseline"/>
              <w:rPr>
                <w:rFonts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Support at least the values of k={-1,-2}</w:t>
            </w:r>
          </w:p>
          <w:p>
            <w:pPr>
              <w:pStyle w:val="27"/>
              <w:numPr>
                <w:ilvl w:val="2"/>
                <w:numId w:val="55"/>
              </w:numPr>
              <w:snapToGrid w:val="0"/>
              <w:contextualSpacing/>
              <w:textAlignment w:val="baseline"/>
              <w:rPr>
                <w:rFonts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FFS other values e.g. -3, -4, -5, -6</w:t>
            </w:r>
          </w:p>
          <w:p>
            <w:pPr>
              <w:pStyle w:val="27"/>
              <w:numPr>
                <w:ilvl w:val="1"/>
                <w:numId w:val="55"/>
              </w:numPr>
              <w:snapToGrid w:val="0"/>
              <w:contextualSpacing/>
              <w:textAlignment w:val="baseline"/>
              <w:rPr>
                <w:rFonts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rFonts w:hint="eastAsia"/>
                <w:b/>
                <w:bCs/>
                <w:sz w:val="20"/>
                <w:szCs w:val="20"/>
                <w:u w:val="single"/>
              </w:rPr>
              <w:t>Conclusion</w:t>
            </w:r>
          </w:p>
          <w:p>
            <w:pPr>
              <w:snapToGrid w:val="0"/>
              <w:jc w:val="both"/>
              <w:rPr>
                <w:rFonts w:eastAsia="宋体"/>
                <w:sz w:val="20"/>
                <w:szCs w:val="20"/>
              </w:rPr>
            </w:pPr>
            <w:r>
              <w:rPr>
                <w:rFonts w:hint="eastAsia" w:eastAsia="宋体"/>
                <w:sz w:val="20"/>
                <w:szCs w:val="20"/>
                <w:lang w:bidi="ar"/>
              </w:rPr>
              <w:t xml:space="preserve">For PRS bandwidth aggregation, PPW is not supported in Rel-18. </w:t>
            </w:r>
          </w:p>
          <w:p>
            <w:pPr>
              <w:pStyle w:val="27"/>
              <w:snapToGrid w:val="0"/>
              <w:contextualSpacing/>
              <w:jc w:val="both"/>
              <w:textAlignment w:val="baseline"/>
              <w:rPr>
                <w:rFonts w:ascii="Times New Roman" w:hAnsi="Times New Roman" w:eastAsia="宋体" w:cs="Times New Roman"/>
                <w:color w:val="493118"/>
                <w:sz w:val="20"/>
                <w:szCs w:val="20"/>
              </w:rPr>
            </w:pP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rFonts w:hint="eastAsia"/>
                <w:b/>
                <w:bCs/>
                <w:sz w:val="20"/>
                <w:szCs w:val="20"/>
                <w:u w:val="single"/>
              </w:rPr>
              <w:t>Agreement</w:t>
            </w:r>
          </w:p>
          <w:p>
            <w:pPr>
              <w:snapToGrid w:val="0"/>
              <w:rPr>
                <w:iCs/>
                <w:sz w:val="20"/>
                <w:szCs w:val="20"/>
              </w:rPr>
            </w:pPr>
            <w:r>
              <w:rPr>
                <w:rFonts w:hint="eastAsia" w:eastAsia="Batang"/>
                <w:iCs/>
                <w:sz w:val="20"/>
                <w:szCs w:val="20"/>
                <w:lang w:bidi="ar"/>
              </w:rPr>
              <w:t xml:space="preserve">When the UE receives a request to perform aggregated measurements, </w:t>
            </w:r>
          </w:p>
          <w:p>
            <w:pPr>
              <w:pStyle w:val="27"/>
              <w:numPr>
                <w:ilvl w:val="0"/>
                <w:numId w:val="56"/>
              </w:numPr>
              <w:snapToGrid w:val="0"/>
              <w:contextualSpacing/>
              <w:textAlignment w:val="baseline"/>
              <w:rPr>
                <w:rFonts w:ascii="Times New Roman" w:hAnsi="Times New Roman" w:eastAsia="宋体" w:cs="Times New Roman"/>
                <w:iCs/>
                <w:color w:val="493118"/>
                <w:sz w:val="20"/>
                <w:szCs w:val="20"/>
              </w:rPr>
            </w:pPr>
            <w:r>
              <w:rPr>
                <w:rFonts w:hint="eastAsia" w:ascii="Times New Roman" w:hAnsi="Times New Roman" w:eastAsia="宋体" w:cs="Times New Roman"/>
                <w:iCs/>
                <w:color w:val="493118"/>
                <w:sz w:val="20"/>
                <w:szCs w:val="20"/>
              </w:rPr>
              <w:t>TRP(s) that include PRS aggregation have higher priority than the TRPs that do not include PRS aggregation</w:t>
            </w:r>
          </w:p>
          <w:p>
            <w:pPr>
              <w:pStyle w:val="27"/>
              <w:numPr>
                <w:ilvl w:val="1"/>
                <w:numId w:val="56"/>
              </w:numPr>
              <w:snapToGrid w:val="0"/>
              <w:contextualSpacing/>
              <w:textAlignment w:val="baseline"/>
              <w:rPr>
                <w:rFonts w:ascii="Times New Roman" w:hAnsi="Times New Roman" w:eastAsia="宋体" w:cs="Times New Roman"/>
                <w:iCs/>
                <w:color w:val="493118"/>
                <w:sz w:val="20"/>
                <w:szCs w:val="20"/>
              </w:rPr>
            </w:pPr>
            <w:r>
              <w:rPr>
                <w:rFonts w:hint="eastAsia"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27"/>
              <w:numPr>
                <w:ilvl w:val="0"/>
                <w:numId w:val="56"/>
              </w:numPr>
              <w:snapToGrid w:val="0"/>
              <w:contextualSpacing/>
              <w:textAlignment w:val="baseline"/>
              <w:rPr>
                <w:rFonts w:ascii="Times New Roman" w:hAnsi="Times New Roman" w:eastAsia="宋体" w:cs="Times New Roman"/>
                <w:iCs/>
                <w:color w:val="493118"/>
                <w:sz w:val="20"/>
                <w:szCs w:val="20"/>
              </w:rPr>
            </w:pPr>
            <w:r>
              <w:rPr>
                <w:rFonts w:hint="eastAsia"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27"/>
              <w:numPr>
                <w:ilvl w:val="1"/>
                <w:numId w:val="56"/>
              </w:numPr>
              <w:snapToGrid w:val="0"/>
              <w:contextualSpacing/>
              <w:textAlignment w:val="baseline"/>
              <w:rPr>
                <w:rFonts w:ascii="Times New Roman" w:hAnsi="Times New Roman" w:eastAsia="宋体" w:cs="Times New Roman"/>
                <w:iCs/>
                <w:color w:val="493118"/>
                <w:sz w:val="20"/>
                <w:szCs w:val="20"/>
              </w:rPr>
            </w:pPr>
            <w:r>
              <w:rPr>
                <w:rFonts w:hint="eastAsia"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Batang"/>
                <w:sz w:val="20"/>
                <w:szCs w:val="20"/>
                <w:lang w:bidi="ar"/>
              </w:rPr>
              <w:t xml:space="preserve">For SRS bandwidth aggregation between SRS in two or three carriers, the following </w:t>
            </w:r>
            <w:r>
              <w:rPr>
                <w:rFonts w:hint="eastAsia" w:eastAsia="宋体"/>
                <w:sz w:val="20"/>
                <w:szCs w:val="20"/>
                <w:lang w:bidi="ar"/>
              </w:rPr>
              <w:t xml:space="preserve">is </w:t>
            </w:r>
            <w:r>
              <w:rPr>
                <w:rFonts w:hint="eastAsia" w:eastAsia="Batang"/>
                <w:sz w:val="20"/>
                <w:szCs w:val="20"/>
                <w:lang w:bidi="ar"/>
              </w:rPr>
              <w:t xml:space="preserve">needed for the aggregated SRS resources </w:t>
            </w:r>
          </w:p>
          <w:p>
            <w:pPr>
              <w:numPr>
                <w:ilvl w:val="0"/>
                <w:numId w:val="42"/>
              </w:numPr>
              <w:tabs>
                <w:tab w:val="left" w:pos="720"/>
              </w:tabs>
              <w:snapToGrid w:val="0"/>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pStyle w:val="27"/>
              <w:numPr>
                <w:ilvl w:val="0"/>
                <w:numId w:val="42"/>
              </w:numPr>
              <w:snapToGrid w:val="0"/>
              <w:contextualSpacing/>
              <w:jc w:val="both"/>
              <w:textAlignment w:val="baseline"/>
              <w:rPr>
                <w:rFonts w:ascii="Times New Roman" w:hAnsi="Times New Roman" w:eastAsia="宋体" w:cs="Times New Roman"/>
                <w:bCs/>
                <w:iCs/>
                <w:color w:val="493118"/>
                <w:sz w:val="20"/>
                <w:szCs w:val="20"/>
              </w:rPr>
            </w:pPr>
            <w:r>
              <w:rPr>
                <w:rFonts w:hint="eastAsia" w:ascii="Times New Roman" w:hAnsi="Times New Roman" w:eastAsia="宋体" w:cs="Times New Roman"/>
                <w:bCs/>
                <w:iCs/>
                <w:color w:val="493118"/>
                <w:sz w:val="20"/>
                <w:szCs w:val="20"/>
              </w:rPr>
              <w:t>The configuration of pathloss RS, Po and alpha to ensure the same Tx PSD (power per subcarrier)</w:t>
            </w:r>
          </w:p>
          <w:p>
            <w:pPr>
              <w:pStyle w:val="27"/>
              <w:numPr>
                <w:ilvl w:val="1"/>
                <w:numId w:val="42"/>
              </w:numPr>
              <w:snapToGrid w:val="0"/>
              <w:contextualSpacing/>
              <w:jc w:val="both"/>
              <w:textAlignment w:val="baseline"/>
              <w:rPr>
                <w:rFonts w:ascii="Times New Roman" w:hAnsi="Times New Roman" w:eastAsia="宋体" w:cs="Times New Roman"/>
                <w:bCs/>
                <w:iCs/>
                <w:color w:val="493118"/>
                <w:sz w:val="20"/>
                <w:szCs w:val="20"/>
              </w:rPr>
            </w:pPr>
            <w:r>
              <w:rPr>
                <w:rFonts w:hint="eastAsia" w:ascii="Times New Roman" w:hAnsi="Times New Roman" w:eastAsia="宋体" w:cs="Times New Roman"/>
                <w:color w:val="493118"/>
                <w:sz w:val="20"/>
                <w:szCs w:val="20"/>
              </w:rPr>
              <w:t xml:space="preserve">The same configuration of Po and alpha. </w:t>
            </w:r>
          </w:p>
          <w:p>
            <w:pPr>
              <w:pStyle w:val="27"/>
              <w:numPr>
                <w:ilvl w:val="1"/>
                <w:numId w:val="42"/>
              </w:numPr>
              <w:snapToGrid w:val="0"/>
              <w:contextualSpacing/>
              <w:jc w:val="both"/>
              <w:textAlignment w:val="baseline"/>
              <w:rPr>
                <w:rFonts w:ascii="Times New Roman" w:hAnsi="Times New Roman" w:eastAsia="宋体" w:cs="Times New Roman"/>
                <w:bCs/>
                <w:iCs/>
                <w:color w:val="493118"/>
                <w:sz w:val="20"/>
                <w:szCs w:val="20"/>
              </w:rPr>
            </w:pPr>
            <w:r>
              <w:rPr>
                <w:rFonts w:hint="eastAsia" w:ascii="Times New Roman" w:hAnsi="Times New Roman" w:eastAsia="宋体" w:cs="Times New Roman"/>
                <w:color w:val="493118"/>
                <w:sz w:val="20"/>
                <w:szCs w:val="20"/>
              </w:rPr>
              <w:t xml:space="preserve">Note: UE may either perform </w:t>
            </w:r>
            <w:r>
              <w:rPr>
                <w:rFonts w:hint="eastAsia" w:ascii="Times New Roman" w:hAnsi="Times New Roman" w:eastAsia="宋体" w:cs="Times New Roman"/>
                <w:bCs/>
                <w:iCs/>
                <w:color w:val="493118"/>
                <w:sz w:val="20"/>
                <w:szCs w:val="20"/>
              </w:rPr>
              <w:t>pathloss</w:t>
            </w:r>
            <w:r>
              <w:rPr>
                <w:rFonts w:hint="eastAsia" w:ascii="Times New Roman" w:hAnsi="Times New Roman" w:eastAsia="宋体" w:cs="Times New Roman"/>
                <w:color w:val="493118"/>
                <w:sz w:val="20"/>
                <w:szCs w:val="20"/>
              </w:rPr>
              <w:t xml:space="preserve"> RS measurement across CCs and form a single path loss value to apply across CCs or perform </w:t>
            </w:r>
            <w:r>
              <w:rPr>
                <w:rFonts w:hint="eastAsia" w:ascii="Times New Roman" w:hAnsi="Times New Roman" w:eastAsia="宋体" w:cs="Times New Roman"/>
                <w:bCs/>
                <w:iCs/>
                <w:color w:val="493118"/>
                <w:sz w:val="20"/>
                <w:szCs w:val="20"/>
              </w:rPr>
              <w:t>pathloss</w:t>
            </w:r>
            <w:r>
              <w:rPr>
                <w:rFonts w:hint="eastAsia" w:ascii="Times New Roman" w:hAnsi="Times New Roman" w:eastAsia="宋体" w:cs="Times New Roman"/>
                <w:color w:val="493118"/>
                <w:sz w:val="20"/>
                <w:szCs w:val="20"/>
              </w:rPr>
              <w:t xml:space="preserve"> RS measurement in a single CC and apply across CCs</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lang w:bidi="ar"/>
              </w:rPr>
              <w:t>For SRS bandwidth aggregation across two or three carriers, support</w:t>
            </w:r>
          </w:p>
          <w:p>
            <w:pPr>
              <w:pStyle w:val="27"/>
              <w:numPr>
                <w:ilvl w:val="0"/>
                <w:numId w:val="57"/>
              </w:numPr>
              <w:snapToGrid w:val="0"/>
              <w:ind w:hanging="357"/>
              <w:contextualSpacing/>
              <w:jc w:val="both"/>
              <w:textAlignment w:val="baseline"/>
              <w:rPr>
                <w:rFonts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 xml:space="preserve">Option 2: Per SRS resource set basis. </w:t>
            </w:r>
          </w:p>
          <w:p>
            <w:pPr>
              <w:pStyle w:val="27"/>
              <w:numPr>
                <w:ilvl w:val="1"/>
                <w:numId w:val="57"/>
              </w:numPr>
              <w:snapToGrid w:val="0"/>
              <w:contextualSpacing/>
              <w:jc w:val="both"/>
              <w:textAlignment w:val="baseline"/>
              <w:rPr>
                <w:rFonts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 xml:space="preserve">Support new signaling to indicate which SRS resource sets across carriers are linked. </w:t>
            </w:r>
          </w:p>
          <w:p>
            <w:pPr>
              <w:pStyle w:val="27"/>
              <w:numPr>
                <w:ilvl w:val="1"/>
                <w:numId w:val="57"/>
              </w:numPr>
              <w:snapToGrid w:val="0"/>
              <w:contextualSpacing/>
              <w:jc w:val="both"/>
              <w:textAlignment w:val="baseline"/>
              <w:rPr>
                <w:rFonts w:ascii="Times New Roman" w:hAnsi="Times New Roman" w:eastAsia="宋体" w:cs="Times New Roman"/>
                <w:bCs/>
                <w:color w:val="493118"/>
                <w:sz w:val="20"/>
                <w:szCs w:val="20"/>
              </w:rPr>
            </w:pPr>
            <w:r>
              <w:rPr>
                <w:rFonts w:hint="eastAsia"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Batang"/>
                <w:sz w:val="20"/>
                <w:szCs w:val="20"/>
                <w:lang w:bidi="ar"/>
              </w:rPr>
              <w:t xml:space="preserve">To support intra-band contiguous SRS bandwidth aggregation for UE in RRC_INACTIVE state, frequency information </w:t>
            </w:r>
            <w:r>
              <w:rPr>
                <w:rFonts w:hint="eastAsia" w:eastAsia="等线"/>
                <w:iCs/>
                <w:sz w:val="20"/>
                <w:szCs w:val="20"/>
                <w:lang w:bidi="ar"/>
              </w:rPr>
              <w:t>(e.g. point A, offset to carrier)</w:t>
            </w:r>
            <w:r>
              <w:rPr>
                <w:rFonts w:hint="eastAsia" w:eastAsia="宋体"/>
                <w:sz w:val="20"/>
                <w:szCs w:val="20"/>
                <w:lang w:bidi="ar"/>
              </w:rPr>
              <w:t xml:space="preserve"> of </w:t>
            </w:r>
            <w:r>
              <w:rPr>
                <w:rFonts w:hint="eastAsia" w:eastAsia="Batang"/>
                <w:sz w:val="20"/>
                <w:szCs w:val="20"/>
                <w:lang w:bidi="ar"/>
              </w:rPr>
              <w:t>one or two additional carriers</w:t>
            </w:r>
            <w:r>
              <w:rPr>
                <w:rFonts w:hint="eastAsia" w:eastAsia="宋体"/>
                <w:sz w:val="20"/>
                <w:szCs w:val="20"/>
                <w:lang w:bidi="ar"/>
              </w:rPr>
              <w:t xml:space="preserve"> </w:t>
            </w:r>
            <w:r>
              <w:rPr>
                <w:rFonts w:hint="eastAsia" w:eastAsia="Batang"/>
                <w:sz w:val="20"/>
                <w:szCs w:val="20"/>
                <w:lang w:bidi="ar"/>
              </w:rPr>
              <w:t>with respective SRS configuration</w:t>
            </w:r>
            <w:r>
              <w:rPr>
                <w:rFonts w:hint="eastAsia" w:eastAsia="宋体"/>
                <w:sz w:val="20"/>
                <w:szCs w:val="20"/>
                <w:lang w:bidi="ar"/>
              </w:rPr>
              <w:t xml:space="preserve">s should be provided to </w:t>
            </w:r>
            <w:r>
              <w:rPr>
                <w:rFonts w:hint="eastAsia" w:eastAsia="Batang"/>
                <w:iCs/>
                <w:sz w:val="20"/>
                <w:szCs w:val="20"/>
                <w:lang w:bidi="ar"/>
              </w:rPr>
              <w:t>the UE</w:t>
            </w:r>
            <w:r>
              <w:rPr>
                <w:rFonts w:hint="eastAsia" w:eastAsia="Batang"/>
                <w:sz w:val="20"/>
                <w:szCs w:val="20"/>
                <w:lang w:bidi="ar"/>
              </w:rPr>
              <w:t xml:space="preserve">, where the newly introduced carrier(s) and the carrier of the initial BWP </w:t>
            </w:r>
            <w:r>
              <w:rPr>
                <w:rFonts w:hint="eastAsia" w:eastAsia="宋体"/>
                <w:sz w:val="20"/>
                <w:szCs w:val="20"/>
                <w:lang w:bidi="ar"/>
              </w:rPr>
              <w:t>should be</w:t>
            </w:r>
            <w:r>
              <w:rPr>
                <w:rFonts w:hint="eastAsia" w:eastAsia="Batang"/>
                <w:sz w:val="20"/>
                <w:szCs w:val="20"/>
                <w:lang w:bidi="ar"/>
              </w:rPr>
              <w:t xml:space="preserve"> intra-band contiguous carriers</w:t>
            </w:r>
            <w:r>
              <w:rPr>
                <w:rFonts w:hint="eastAsia" w:eastAsia="宋体"/>
                <w:sz w:val="20"/>
                <w:szCs w:val="20"/>
                <w:lang w:bidi="ar"/>
              </w:rPr>
              <w:t>.</w:t>
            </w:r>
          </w:p>
          <w:p>
            <w:pPr>
              <w:pStyle w:val="27"/>
              <w:snapToGrid w:val="0"/>
              <w:contextualSpacing/>
              <w:jc w:val="both"/>
              <w:textAlignment w:val="baseline"/>
              <w:rPr>
                <w:rFonts w:ascii="Times New Roman" w:hAnsi="Times New Roman" w:eastAsia="宋体" w:cs="Times New Roman"/>
                <w:color w:val="493118"/>
                <w:sz w:val="20"/>
                <w:szCs w:val="20"/>
              </w:rPr>
            </w:pPr>
          </w:p>
          <w:p>
            <w:pPr>
              <w:pStyle w:val="27"/>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rFonts w:hint="eastAsia"/>
                <w:b/>
                <w:bCs/>
                <w:sz w:val="20"/>
                <w:szCs w:val="20"/>
                <w:u w:val="single"/>
              </w:rPr>
              <w:t xml:space="preserve">Working assumption </w:t>
            </w:r>
          </w:p>
          <w:p>
            <w:pPr>
              <w:pStyle w:val="27"/>
              <w:snapToGrid w:val="0"/>
              <w:jc w:val="both"/>
              <w:rPr>
                <w:rFonts w:ascii="Times New Roman" w:hAnsi="Times New Roman" w:cs="Times New Roman"/>
                <w:sz w:val="20"/>
                <w:szCs w:val="20"/>
              </w:rPr>
            </w:pPr>
            <w:r>
              <w:rPr>
                <w:rFonts w:hint="eastAsia" w:ascii="Times New Roman" w:hAnsi="Times New Roman" w:eastAsia="Batang" w:cs="Times New Roman"/>
                <w:sz w:val="20"/>
                <w:szCs w:val="20"/>
                <w:lang w:bidi="ar"/>
              </w:rPr>
              <w:t>For semi-persistent positioning SRS for bandwidth aggregation, a single MAC CE can activate or deactivate:</w:t>
            </w:r>
          </w:p>
          <w:p>
            <w:pPr>
              <w:pStyle w:val="27"/>
              <w:numPr>
                <w:ilvl w:val="0"/>
                <w:numId w:val="58"/>
              </w:numPr>
              <w:snapToGrid w:val="0"/>
              <w:contextualSpacing/>
              <w:jc w:val="both"/>
              <w:textAlignment w:val="baseline"/>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SRS resource set(s) in one or two or three of three aggregated carriers</w:t>
            </w:r>
          </w:p>
          <w:p>
            <w:pPr>
              <w:pStyle w:val="27"/>
              <w:numPr>
                <w:ilvl w:val="0"/>
                <w:numId w:val="58"/>
              </w:numPr>
              <w:snapToGrid w:val="0"/>
              <w:contextualSpacing/>
              <w:jc w:val="both"/>
              <w:textAlignment w:val="baseline"/>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hint="eastAsia"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hint="eastAsia"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eastAsia="Batang"/>
                <w:sz w:val="20"/>
                <w:szCs w:val="20"/>
                <w:lang w:bidi="ar"/>
              </w:rPr>
              <w:t>Draft LS in R1-2306213 is endorsed with the following change:</w:t>
            </w:r>
          </w:p>
          <w:p>
            <w:pPr>
              <w:snapToGrid w:val="0"/>
              <w:ind w:firstLine="799"/>
              <w:rPr>
                <w:sz w:val="20"/>
                <w:szCs w:val="20"/>
              </w:rPr>
            </w:pPr>
            <w:bookmarkStart w:id="86" w:name="_Hlk135984192"/>
            <w:r>
              <w:rPr>
                <w:rFonts w:hint="eastAsia" w:eastAsia="Batang"/>
                <w:b/>
                <w:bCs/>
                <w:sz w:val="20"/>
                <w:szCs w:val="20"/>
                <w:lang w:bidi="ar"/>
              </w:rPr>
              <w:t>ACTION:</w:t>
            </w:r>
            <w:r>
              <w:rPr>
                <w:rFonts w:hint="eastAsia" w:eastAsia="Batang"/>
                <w:sz w:val="20"/>
                <w:szCs w:val="20"/>
                <w:lang w:bidi="ar"/>
              </w:rPr>
              <w:t xml:space="preserve"> RAN1 respectfully asks RAN2 to </w:t>
            </w:r>
            <w:r>
              <w:rPr>
                <w:rFonts w:hint="eastAsia" w:eastAsia="宋体"/>
                <w:sz w:val="20"/>
                <w:szCs w:val="20"/>
                <w:lang w:bidi="ar"/>
              </w:rPr>
              <w:t xml:space="preserve">check the feasibility of the working assumption and </w:t>
            </w:r>
            <w:del w:id="4" w:author="David mazzarese">
              <w:r>
                <w:rPr>
                  <w:rFonts w:hint="eastAsia" w:eastAsia="Batang"/>
                  <w:sz w:val="20"/>
                  <w:szCs w:val="20"/>
                  <w:lang w:bidi="ar"/>
                </w:rPr>
                <w:delText>take the above information into account</w:delText>
              </w:r>
            </w:del>
            <w:del w:id="5" w:author="David mazzarese">
              <w:r>
                <w:rPr>
                  <w:rFonts w:hint="eastAsia" w:eastAsia="宋体"/>
                  <w:sz w:val="20"/>
                  <w:szCs w:val="20"/>
                  <w:lang w:bidi="ar"/>
                </w:rPr>
                <w:delText xml:space="preserve"> for their future work</w:delText>
              </w:r>
            </w:del>
            <w:ins w:id="6" w:author="David mazzarese">
              <w:r>
                <w:rPr>
                  <w:rFonts w:hint="eastAsia" w:eastAsia="Batang"/>
                  <w:sz w:val="20"/>
                  <w:szCs w:val="20"/>
                  <w:lang w:bidi="ar"/>
                </w:rPr>
                <w:t>inform RAN1 of RAN2’s conclusion on the feasibility</w:t>
              </w:r>
            </w:ins>
            <w:r>
              <w:rPr>
                <w:rFonts w:hint="eastAsia" w:eastAsia="Batang"/>
                <w:sz w:val="20"/>
                <w:szCs w:val="20"/>
                <w:lang w:bidi="ar"/>
              </w:rPr>
              <w:t>.</w:t>
            </w:r>
          </w:p>
          <w:bookmarkEnd w:id="86"/>
          <w:p>
            <w:pPr>
              <w:snapToGrid w:val="0"/>
              <w:rPr>
                <w:b/>
                <w:sz w:val="20"/>
                <w:szCs w:val="20"/>
              </w:rPr>
            </w:pPr>
          </w:p>
          <w:p>
            <w:pPr>
              <w:snapToGrid w:val="0"/>
              <w:rPr>
                <w:sz w:val="20"/>
                <w:szCs w:val="20"/>
              </w:rPr>
            </w:pPr>
            <w:r>
              <w:rPr>
                <w:rFonts w:hint="eastAsia"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27"/>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lang w:bidi="ar"/>
              </w:rPr>
              <w:t>For a carrier including positioning SRS for aggregation,</w:t>
            </w:r>
          </w:p>
          <w:p>
            <w:pPr>
              <w:pStyle w:val="27"/>
              <w:numPr>
                <w:ilvl w:val="0"/>
                <w:numId w:val="54"/>
              </w:numPr>
              <w:snapToGrid w:val="0"/>
              <w:contextualSpacing/>
              <w:textAlignment w:val="baseline"/>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Positioning SRS can be transmitted only when the carrier is activated</w:t>
            </w:r>
          </w:p>
          <w:p>
            <w:pPr>
              <w:pStyle w:val="27"/>
              <w:numPr>
                <w:ilvl w:val="1"/>
                <w:numId w:val="54"/>
              </w:numPr>
              <w:snapToGrid w:val="0"/>
              <w:contextualSpacing/>
              <w:textAlignment w:val="baseline"/>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This is also applicable for the carrier only including positioning SRS for aggregation</w:t>
            </w:r>
          </w:p>
          <w:p>
            <w:pPr>
              <w:pStyle w:val="27"/>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lang w:bidi="ar"/>
              </w:rPr>
              <w:t>With regard to s</w:t>
            </w:r>
            <w:r>
              <w:rPr>
                <w:rFonts w:hint="eastAsia" w:eastAsia="Batang"/>
                <w:sz w:val="20"/>
                <w:szCs w:val="20"/>
                <w:lang w:bidi="ar"/>
              </w:rPr>
              <w:t xml:space="preserve">upport </w:t>
            </w:r>
            <w:r>
              <w:rPr>
                <w:rFonts w:hint="eastAsia" w:eastAsia="宋体"/>
                <w:sz w:val="20"/>
                <w:szCs w:val="20"/>
                <w:lang w:bidi="ar"/>
              </w:rPr>
              <w:t xml:space="preserve">of </w:t>
            </w:r>
            <w:r>
              <w:rPr>
                <w:rFonts w:hint="eastAsia" w:eastAsia="Batang"/>
                <w:sz w:val="20"/>
                <w:szCs w:val="20"/>
                <w:lang w:bidi="ar"/>
              </w:rPr>
              <w:t>aperiodic positioning SRS for bandwidth aggregation for UEs in RRC_CONNECTED state</w:t>
            </w:r>
            <w:r>
              <w:rPr>
                <w:rFonts w:hint="eastAsia" w:eastAsia="宋体"/>
                <w:sz w:val="20"/>
                <w:szCs w:val="20"/>
                <w:lang w:bidi="ar"/>
              </w:rPr>
              <w:t>, at least the existing Rel-17 DCI framework (</w:t>
            </w:r>
            <w:r>
              <w:rPr>
                <w:rFonts w:hint="eastAsia" w:eastAsia="Batang"/>
                <w:bCs/>
                <w:sz w:val="20"/>
                <w:szCs w:val="20"/>
                <w:lang w:bidi="ar"/>
              </w:rPr>
              <w:t>i.e. use multiple DCIs schedule SRSs in multiple carriers</w:t>
            </w:r>
            <w:r>
              <w:rPr>
                <w:rFonts w:hint="eastAsia" w:eastAsia="宋体"/>
                <w:sz w:val="20"/>
                <w:szCs w:val="20"/>
                <w:lang w:bidi="ar"/>
              </w:rPr>
              <w:t>) can be reused</w:t>
            </w:r>
          </w:p>
          <w:p>
            <w:pPr>
              <w:pStyle w:val="27"/>
              <w:numPr>
                <w:ilvl w:val="0"/>
                <w:numId w:val="54"/>
              </w:numPr>
              <w:snapToGrid w:val="0"/>
              <w:contextualSpacing/>
              <w:textAlignment w:val="baseline"/>
              <w:rPr>
                <w:rFonts w:ascii="Times New Roman" w:hAnsi="Times New Roman" w:cs="Times New Roman"/>
                <w:sz w:val="20"/>
                <w:szCs w:val="20"/>
              </w:rPr>
            </w:pPr>
            <w:r>
              <w:rPr>
                <w:rFonts w:hint="eastAsia" w:ascii="Times New Roman" w:hAnsi="Times New Roman" w:eastAsia="宋体" w:cs="Times New Roman"/>
                <w:sz w:val="20"/>
                <w:szCs w:val="20"/>
                <w:lang w:bidi="ar"/>
              </w:rPr>
              <w:t xml:space="preserve">FFS: whether Rel-18 DCI framework for </w:t>
            </w:r>
            <w:r>
              <w:rPr>
                <w:rFonts w:hint="eastAsia" w:ascii="Times New Roman" w:hAnsi="Times New Roman" w:eastAsia="Batang" w:cs="Times New Roman"/>
                <w:sz w:val="20"/>
                <w:szCs w:val="20"/>
                <w:lang w:bidi="ar"/>
              </w:rPr>
              <w:t xml:space="preserve">multi-cell PDSCH/PUSCH scheduling with a single DCI (i.e. single </w:t>
            </w:r>
            <w:r>
              <w:rPr>
                <w:rFonts w:hint="eastAsia" w:ascii="Times New Roman" w:hAnsi="Times New Roman" w:eastAsia="等线" w:cs="Times New Roman"/>
                <w:sz w:val="20"/>
                <w:szCs w:val="20"/>
                <w:lang w:bidi="ar"/>
              </w:rPr>
              <w:t>DCI</w:t>
            </w:r>
            <w:r>
              <w:rPr>
                <w:rFonts w:hint="eastAsia" w:ascii="Times New Roman" w:hAnsi="Times New Roman" w:eastAsia="Batang" w:cs="Times New Roman"/>
                <w:sz w:val="20"/>
                <w:szCs w:val="20"/>
                <w:lang w:bidi="ar"/>
              </w:rPr>
              <w:t xml:space="preserve"> schedules SRSs in multiple carriers)</w:t>
            </w:r>
            <w:r>
              <w:rPr>
                <w:rFonts w:hint="eastAsia"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Batang"/>
                <w:sz w:val="20"/>
                <w:szCs w:val="20"/>
                <w:lang w:bidi="ar"/>
              </w:rPr>
              <w:t xml:space="preserve">For </w:t>
            </w:r>
            <w:r>
              <w:rPr>
                <w:rFonts w:hint="eastAsia" w:eastAsia="宋体"/>
                <w:sz w:val="20"/>
                <w:szCs w:val="20"/>
                <w:lang w:bidi="ar"/>
              </w:rPr>
              <w:t>S</w:t>
            </w:r>
            <w:r>
              <w:rPr>
                <w:rFonts w:hint="eastAsia" w:eastAsia="Batang"/>
                <w:sz w:val="20"/>
                <w:szCs w:val="20"/>
                <w:lang w:bidi="ar"/>
              </w:rPr>
              <w:t xml:space="preserve">RS bandwidth aggregation across </w:t>
            </w:r>
            <w:r>
              <w:rPr>
                <w:rFonts w:hint="eastAsia" w:eastAsia="宋体"/>
                <w:sz w:val="20"/>
                <w:szCs w:val="20"/>
                <w:lang w:bidi="ar"/>
              </w:rPr>
              <w:t>carriers</w:t>
            </w:r>
            <w:r>
              <w:rPr>
                <w:rFonts w:hint="eastAsia" w:eastAsia="Batang"/>
                <w:sz w:val="20"/>
                <w:szCs w:val="20"/>
                <w:lang w:bidi="ar"/>
              </w:rPr>
              <w:t>, support</w:t>
            </w:r>
          </w:p>
          <w:p>
            <w:pPr>
              <w:pStyle w:val="27"/>
              <w:numPr>
                <w:ilvl w:val="0"/>
                <w:numId w:val="53"/>
              </w:numPr>
              <w:snapToGrid w:val="0"/>
              <w:contextualSpacing/>
              <w:jc w:val="both"/>
              <w:textAlignment w:val="baseline"/>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Single RSRP or RSRPP is reported</w:t>
            </w:r>
          </w:p>
          <w:p>
            <w:pPr>
              <w:pStyle w:val="27"/>
              <w:numPr>
                <w:ilvl w:val="1"/>
                <w:numId w:val="53"/>
              </w:numPr>
              <w:snapToGrid w:val="0"/>
              <w:contextualSpacing/>
              <w:jc w:val="both"/>
              <w:textAlignment w:val="baseline"/>
              <w:rPr>
                <w:rFonts w:ascii="Times New Roman" w:hAnsi="Times New Roman" w:eastAsia="宋体" w:cs="Times New Roman"/>
                <w:color w:val="493118"/>
                <w:sz w:val="20"/>
                <w:szCs w:val="20"/>
              </w:rPr>
            </w:pPr>
            <w:r>
              <w:rPr>
                <w:rFonts w:hint="eastAsia" w:ascii="Times New Roman" w:hAnsi="Times New Roman" w:eastAsia="宋体" w:cs="Times New Roman"/>
                <w:color w:val="493118"/>
                <w:sz w:val="20"/>
                <w:szCs w:val="20"/>
              </w:rPr>
              <w:t>FFS: the single RSRP/RSRPP is based on aggregated SRS resources across aggregated carriers</w:t>
            </w:r>
          </w:p>
          <w:p>
            <w:pPr>
              <w:pStyle w:val="27"/>
              <w:numPr>
                <w:ilvl w:val="0"/>
                <w:numId w:val="53"/>
              </w:numPr>
              <w:snapToGrid w:val="0"/>
              <w:contextualSpacing/>
              <w:jc w:val="both"/>
              <w:textAlignment w:val="baseline"/>
              <w:rPr>
                <w:rFonts w:ascii="Times New Roman" w:hAnsi="Times New Roman" w:cs="Times New Roman"/>
                <w:sz w:val="20"/>
                <w:szCs w:val="20"/>
              </w:rPr>
            </w:pPr>
            <w:r>
              <w:rPr>
                <w:rFonts w:hint="eastAsia"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
      <w:pPr>
        <w:snapToGrid w:val="0"/>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roma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KaiTi_GB2312">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Devanagari">
    <w:altName w:val="Cambria"/>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LG스마트체 Light">
    <w:altName w:val="Malgun Gothic"/>
    <w:panose1 w:val="00000000000000000000"/>
    <w:charset w:val="81"/>
    <w:family w:val="modern"/>
    <w:pitch w:val="default"/>
    <w:sig w:usb0="00000000" w:usb1="00000000" w:usb2="00000010" w:usb3="00000000" w:csb0="00280005"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4"/>
      <w:jc w:val="center"/>
    </w:pPr>
    <w:r>
      <w:rPr>
        <w:lang w:val="zh-CN"/>
      </w:rPr>
      <w:fldChar w:fldCharType="begin"/>
    </w:r>
    <w:r>
      <w:rPr>
        <w:lang w:val="zh-CN"/>
      </w:rPr>
      <w:instrText xml:space="preserve">PAGE</w:instrText>
    </w:r>
    <w:r>
      <w:rPr>
        <w:lang w:val="zh-CN"/>
      </w:rPr>
      <w:fldChar w:fldCharType="separate"/>
    </w:r>
    <w:r>
      <w:rPr>
        <w:lang w:val="zh-CN"/>
      </w:rPr>
      <w:t>35</w:t>
    </w:r>
    <w:r>
      <w:rPr>
        <w:lang w:val="zh-CN"/>
      </w:rPr>
      <w:fldChar w:fldCharType="end"/>
    </w:r>
  </w:p>
  <w:p>
    <w:pPr>
      <w:pStyle w:val="10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7AC09AC"/>
    <w:multiLevelType w:val="multilevel"/>
    <w:tmpl w:val="97AC09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AAEBD866"/>
    <w:multiLevelType w:val="multilevel"/>
    <w:tmpl w:val="AAEBD8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B2D528F5"/>
    <w:multiLevelType w:val="singleLevel"/>
    <w:tmpl w:val="B2D528F5"/>
    <w:lvl w:ilvl="0" w:tentative="0">
      <w:start w:val="1"/>
      <w:numFmt w:val="bullet"/>
      <w:lvlText w:val=""/>
      <w:lvlJc w:val="left"/>
      <w:pPr>
        <w:ind w:left="420" w:hanging="420"/>
      </w:pPr>
      <w:rPr>
        <w:rFonts w:hint="default" w:ascii="Wingdings" w:hAnsi="Wingdings"/>
      </w:rPr>
    </w:lvl>
  </w:abstractNum>
  <w:abstractNum w:abstractNumId="5">
    <w:nsid w:val="BC5F6939"/>
    <w:multiLevelType w:val="multilevel"/>
    <w:tmpl w:val="BC5F6939"/>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7">
    <w:nsid w:val="E5DF63A8"/>
    <w:multiLevelType w:val="multilevel"/>
    <w:tmpl w:val="E5DF63A8"/>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ascii="Courier New" w:hAnsi="Courier New" w:cs="Times New Roman"/>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cs="Wingdings"/>
      </w:rPr>
    </w:lvl>
  </w:abstractNum>
  <w:abstractNum w:abstractNumId="8">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11">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0A995159"/>
    <w:multiLevelType w:val="multilevel"/>
    <w:tmpl w:val="0A995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0C816B63"/>
    <w:multiLevelType w:val="multilevel"/>
    <w:tmpl w:val="0C816B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5">
    <w:nsid w:val="108321D1"/>
    <w:multiLevelType w:val="multilevel"/>
    <w:tmpl w:val="108321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1091425A"/>
    <w:multiLevelType w:val="multilevel"/>
    <w:tmpl w:val="1091425A"/>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198B06D2"/>
    <w:multiLevelType w:val="multilevel"/>
    <w:tmpl w:val="198B06D2"/>
    <w:lvl w:ilvl="0" w:tentative="0">
      <w:start w:val="1"/>
      <w:numFmt w:val="bullet"/>
      <w:lvlText w:val=""/>
      <w:lvlJc w:val="left"/>
      <w:pPr>
        <w:tabs>
          <w:tab w:val="left" w:pos="-420"/>
        </w:tabs>
        <w:ind w:left="300" w:hanging="360"/>
      </w:pPr>
      <w:rPr>
        <w:rFonts w:ascii="Symbol" w:hAnsi="Symbol" w:cs="Symbol"/>
      </w:rPr>
    </w:lvl>
    <w:lvl w:ilvl="1" w:tentative="0">
      <w:start w:val="1"/>
      <w:numFmt w:val="bullet"/>
      <w:lvlText w:val="o"/>
      <w:lvlJc w:val="left"/>
      <w:pPr>
        <w:tabs>
          <w:tab w:val="left" w:pos="-420"/>
        </w:tabs>
        <w:ind w:left="1020" w:hanging="360"/>
      </w:pPr>
      <w:rPr>
        <w:rFonts w:ascii="Courier New" w:hAnsi="Courier New" w:cs="Courier New"/>
      </w:rPr>
    </w:lvl>
    <w:lvl w:ilvl="2" w:tentative="0">
      <w:start w:val="1"/>
      <w:numFmt w:val="bullet"/>
      <w:lvlText w:val=""/>
      <w:lvlJc w:val="left"/>
      <w:pPr>
        <w:tabs>
          <w:tab w:val="left" w:pos="-420"/>
        </w:tabs>
        <w:ind w:left="1740" w:hanging="360"/>
      </w:pPr>
      <w:rPr>
        <w:rFonts w:hint="default" w:ascii="Wingdings" w:hAnsi="Wingdings" w:cs="Wingdings"/>
      </w:rPr>
    </w:lvl>
    <w:lvl w:ilvl="3" w:tentative="0">
      <w:start w:val="1"/>
      <w:numFmt w:val="bullet"/>
      <w:lvlText w:val=""/>
      <w:lvlJc w:val="left"/>
      <w:pPr>
        <w:tabs>
          <w:tab w:val="left" w:pos="-420"/>
        </w:tabs>
        <w:ind w:left="2460" w:hanging="360"/>
      </w:pPr>
      <w:rPr>
        <w:rFonts w:hint="default" w:ascii="Symbol" w:hAnsi="Symbol" w:cs="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cs="Wingdings"/>
      </w:rPr>
    </w:lvl>
    <w:lvl w:ilvl="6" w:tentative="0">
      <w:start w:val="1"/>
      <w:numFmt w:val="bullet"/>
      <w:lvlText w:val=""/>
      <w:lvlJc w:val="left"/>
      <w:pPr>
        <w:tabs>
          <w:tab w:val="left" w:pos="-420"/>
        </w:tabs>
        <w:ind w:left="4620" w:hanging="360"/>
      </w:pPr>
      <w:rPr>
        <w:rFonts w:hint="default" w:ascii="Symbol" w:hAnsi="Symbol" w:cs="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cs="Wingdings"/>
      </w:rPr>
    </w:lvl>
  </w:abstractNum>
  <w:abstractNum w:abstractNumId="19">
    <w:nsid w:val="1D90574E"/>
    <w:multiLevelType w:val="multilevel"/>
    <w:tmpl w:val="1D90574E"/>
    <w:lvl w:ilvl="0" w:tentative="0">
      <w:start w:val="1"/>
      <w:numFmt w:val="bullet"/>
      <w:lvlText w:val="-"/>
      <w:lvlJc w:val="left"/>
      <w:pPr>
        <w:ind w:left="1225" w:hanging="400"/>
      </w:pPr>
      <w:rPr>
        <w:rFonts w:hint="eastAsia" w:ascii="LG스마트체 Light" w:hAnsi="LG스마트체 Light" w:eastAsia="LG스마트체 Light"/>
      </w:rPr>
    </w:lvl>
    <w:lvl w:ilvl="1" w:tentative="0">
      <w:start w:val="1"/>
      <w:numFmt w:val="bullet"/>
      <w:lvlText w:val=""/>
      <w:lvlJc w:val="left"/>
      <w:pPr>
        <w:ind w:left="1625" w:hanging="400"/>
      </w:pPr>
      <w:rPr>
        <w:rFonts w:hint="default" w:ascii="Wingdings" w:hAnsi="Wingdings"/>
      </w:rPr>
    </w:lvl>
    <w:lvl w:ilvl="2" w:tentative="0">
      <w:start w:val="1"/>
      <w:numFmt w:val="bullet"/>
      <w:lvlText w:val=""/>
      <w:lvlJc w:val="left"/>
      <w:pPr>
        <w:ind w:left="2025" w:hanging="400"/>
      </w:pPr>
      <w:rPr>
        <w:rFonts w:hint="default" w:ascii="Wingdings" w:hAnsi="Wingdings"/>
      </w:rPr>
    </w:lvl>
    <w:lvl w:ilvl="3" w:tentative="0">
      <w:start w:val="1"/>
      <w:numFmt w:val="bullet"/>
      <w:lvlText w:val=""/>
      <w:lvlJc w:val="left"/>
      <w:pPr>
        <w:ind w:left="2425" w:hanging="400"/>
      </w:pPr>
      <w:rPr>
        <w:rFonts w:hint="default" w:ascii="Wingdings" w:hAnsi="Wingdings"/>
      </w:rPr>
    </w:lvl>
    <w:lvl w:ilvl="4" w:tentative="0">
      <w:start w:val="1"/>
      <w:numFmt w:val="bullet"/>
      <w:lvlText w:val=""/>
      <w:lvlJc w:val="left"/>
      <w:pPr>
        <w:ind w:left="2825" w:hanging="400"/>
      </w:pPr>
      <w:rPr>
        <w:rFonts w:hint="default" w:ascii="Wingdings" w:hAnsi="Wingdings"/>
      </w:rPr>
    </w:lvl>
    <w:lvl w:ilvl="5" w:tentative="0">
      <w:start w:val="1"/>
      <w:numFmt w:val="bullet"/>
      <w:lvlText w:val=""/>
      <w:lvlJc w:val="left"/>
      <w:pPr>
        <w:ind w:left="3225" w:hanging="400"/>
      </w:pPr>
      <w:rPr>
        <w:rFonts w:hint="default" w:ascii="Wingdings" w:hAnsi="Wingdings"/>
      </w:rPr>
    </w:lvl>
    <w:lvl w:ilvl="6" w:tentative="0">
      <w:start w:val="1"/>
      <w:numFmt w:val="bullet"/>
      <w:lvlText w:val=""/>
      <w:lvlJc w:val="left"/>
      <w:pPr>
        <w:ind w:left="3625" w:hanging="400"/>
      </w:pPr>
      <w:rPr>
        <w:rFonts w:hint="default" w:ascii="Wingdings" w:hAnsi="Wingdings"/>
      </w:rPr>
    </w:lvl>
    <w:lvl w:ilvl="7" w:tentative="0">
      <w:start w:val="1"/>
      <w:numFmt w:val="bullet"/>
      <w:lvlText w:val=""/>
      <w:lvlJc w:val="left"/>
      <w:pPr>
        <w:ind w:left="4025" w:hanging="400"/>
      </w:pPr>
      <w:rPr>
        <w:rFonts w:hint="default" w:ascii="Wingdings" w:hAnsi="Wingdings"/>
      </w:rPr>
    </w:lvl>
    <w:lvl w:ilvl="8" w:tentative="0">
      <w:start w:val="1"/>
      <w:numFmt w:val="bullet"/>
      <w:lvlText w:val=""/>
      <w:lvlJc w:val="left"/>
      <w:pPr>
        <w:ind w:left="4425" w:hanging="400"/>
      </w:pPr>
      <w:rPr>
        <w:rFonts w:hint="default" w:ascii="Wingdings" w:hAnsi="Wingdings"/>
      </w:rPr>
    </w:lvl>
  </w:abstractNum>
  <w:abstractNum w:abstractNumId="20">
    <w:nsid w:val="1DDB1374"/>
    <w:multiLevelType w:val="multilevel"/>
    <w:tmpl w:val="1DDB13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1">
    <w:nsid w:val="1F1F3020"/>
    <w:multiLevelType w:val="multilevel"/>
    <w:tmpl w:val="1F1F3020"/>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1F5A0426"/>
    <w:multiLevelType w:val="multilevel"/>
    <w:tmpl w:val="1F5A04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225F5308"/>
    <w:multiLevelType w:val="multilevel"/>
    <w:tmpl w:val="225F53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29026A02"/>
    <w:multiLevelType w:val="multilevel"/>
    <w:tmpl w:val="29026A0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6">
    <w:nsid w:val="2ADF58CA"/>
    <w:multiLevelType w:val="multilevel"/>
    <w:tmpl w:val="2ADF58CA"/>
    <w:lvl w:ilvl="0" w:tentative="0">
      <w:start w:val="1000"/>
      <w:numFmt w:val="bullet"/>
      <w:lvlText w:val="-"/>
      <w:lvlJc w:val="left"/>
      <w:pPr>
        <w:ind w:left="855" w:hanging="360"/>
      </w:pPr>
      <w:rPr>
        <w:rFonts w:hint="default" w:ascii="Times New Roman" w:hAnsi="Times New Roman" w:eastAsia="宋体" w:cs="Times New Roman"/>
      </w:rPr>
    </w:lvl>
    <w:lvl w:ilvl="1" w:tentative="0">
      <w:start w:val="1"/>
      <w:numFmt w:val="bullet"/>
      <w:lvlText w:val=""/>
      <w:lvlJc w:val="left"/>
      <w:pPr>
        <w:ind w:left="1335" w:hanging="420"/>
      </w:pPr>
      <w:rPr>
        <w:rFonts w:hint="default" w:ascii="Wingdings" w:hAnsi="Wingdings"/>
      </w:rPr>
    </w:lvl>
    <w:lvl w:ilvl="2" w:tentative="0">
      <w:start w:val="1"/>
      <w:numFmt w:val="bullet"/>
      <w:lvlText w:val=""/>
      <w:lvlJc w:val="left"/>
      <w:pPr>
        <w:ind w:left="1755" w:hanging="420"/>
      </w:pPr>
      <w:rPr>
        <w:rFonts w:hint="default" w:ascii="Wingdings" w:hAnsi="Wingdings"/>
      </w:rPr>
    </w:lvl>
    <w:lvl w:ilvl="3" w:tentative="0">
      <w:start w:val="1"/>
      <w:numFmt w:val="bullet"/>
      <w:lvlText w:val=""/>
      <w:lvlJc w:val="left"/>
      <w:pPr>
        <w:ind w:left="2175" w:hanging="420"/>
      </w:pPr>
      <w:rPr>
        <w:rFonts w:hint="default" w:ascii="Wingdings" w:hAnsi="Wingdings"/>
      </w:rPr>
    </w:lvl>
    <w:lvl w:ilvl="4" w:tentative="0">
      <w:start w:val="1"/>
      <w:numFmt w:val="bullet"/>
      <w:lvlText w:val=""/>
      <w:lvlJc w:val="left"/>
      <w:pPr>
        <w:ind w:left="2595" w:hanging="420"/>
      </w:pPr>
      <w:rPr>
        <w:rFonts w:hint="default" w:ascii="Wingdings" w:hAnsi="Wingdings"/>
      </w:rPr>
    </w:lvl>
    <w:lvl w:ilvl="5" w:tentative="0">
      <w:start w:val="1"/>
      <w:numFmt w:val="bullet"/>
      <w:lvlText w:val=""/>
      <w:lvlJc w:val="left"/>
      <w:pPr>
        <w:ind w:left="3015" w:hanging="420"/>
      </w:pPr>
      <w:rPr>
        <w:rFonts w:hint="default" w:ascii="Wingdings" w:hAnsi="Wingdings"/>
      </w:rPr>
    </w:lvl>
    <w:lvl w:ilvl="6" w:tentative="0">
      <w:start w:val="1"/>
      <w:numFmt w:val="bullet"/>
      <w:lvlText w:val=""/>
      <w:lvlJc w:val="left"/>
      <w:pPr>
        <w:ind w:left="3435" w:hanging="420"/>
      </w:pPr>
      <w:rPr>
        <w:rFonts w:hint="default" w:ascii="Wingdings" w:hAnsi="Wingdings"/>
      </w:rPr>
    </w:lvl>
    <w:lvl w:ilvl="7" w:tentative="0">
      <w:start w:val="1"/>
      <w:numFmt w:val="bullet"/>
      <w:lvlText w:val=""/>
      <w:lvlJc w:val="left"/>
      <w:pPr>
        <w:ind w:left="3855" w:hanging="420"/>
      </w:pPr>
      <w:rPr>
        <w:rFonts w:hint="default" w:ascii="Wingdings" w:hAnsi="Wingdings"/>
      </w:rPr>
    </w:lvl>
    <w:lvl w:ilvl="8" w:tentative="0">
      <w:start w:val="1"/>
      <w:numFmt w:val="bullet"/>
      <w:lvlText w:val=""/>
      <w:lvlJc w:val="left"/>
      <w:pPr>
        <w:ind w:left="4275" w:hanging="420"/>
      </w:pPr>
      <w:rPr>
        <w:rFonts w:hint="default" w:ascii="Wingdings" w:hAnsi="Wingdings"/>
      </w:rPr>
    </w:lvl>
  </w:abstractNum>
  <w:abstractNum w:abstractNumId="27">
    <w:nsid w:val="2CDB0FC8"/>
    <w:multiLevelType w:val="multilevel"/>
    <w:tmpl w:val="2CDB0FC8"/>
    <w:lvl w:ilvl="0" w:tentative="0">
      <w:start w:val="1"/>
      <w:numFmt w:val="decimal"/>
      <w:pStyle w:val="38"/>
      <w:lvlText w:val="%1"/>
      <w:lvlJc w:val="left"/>
      <w:pPr>
        <w:tabs>
          <w:tab w:val="left" w:pos="432"/>
        </w:tabs>
        <w:ind w:left="432" w:hanging="432"/>
      </w:pPr>
      <w:rPr>
        <w:i w:val="0"/>
        <w:sz w:val="24"/>
        <w:lang w:val="en-US"/>
      </w:rPr>
    </w:lvl>
    <w:lvl w:ilvl="1" w:tentative="0">
      <w:start w:val="1"/>
      <w:numFmt w:val="decimal"/>
      <w:pStyle w:val="39"/>
      <w:lvlText w:val="%1.%2"/>
      <w:lvlJc w:val="left"/>
      <w:pPr>
        <w:tabs>
          <w:tab w:val="left" w:pos="576"/>
        </w:tabs>
        <w:ind w:left="576" w:hanging="576"/>
      </w:pPr>
      <w:rPr>
        <w:rFonts w:ascii="Arial" w:hAnsi="Arial"/>
        <w:b/>
        <w:i w:val="0"/>
        <w:sz w:val="24"/>
      </w:rPr>
    </w:lvl>
    <w:lvl w:ilvl="2" w:tentative="0">
      <w:start w:val="1"/>
      <w:numFmt w:val="decimal"/>
      <w:pStyle w:val="40"/>
      <w:lvlText w:val="%1.%2.%3"/>
      <w:lvlJc w:val="left"/>
      <w:pPr>
        <w:tabs>
          <w:tab w:val="left" w:pos="720"/>
        </w:tabs>
        <w:ind w:left="720" w:hanging="720"/>
      </w:pPr>
    </w:lvl>
    <w:lvl w:ilvl="3" w:tentative="0">
      <w:start w:val="1"/>
      <w:numFmt w:val="decimal"/>
      <w:pStyle w:val="41"/>
      <w:lvlText w:val="%1.%2.%3.%4"/>
      <w:lvlJc w:val="left"/>
      <w:pPr>
        <w:tabs>
          <w:tab w:val="left" w:pos="864"/>
        </w:tabs>
        <w:ind w:left="864" w:hanging="864"/>
      </w:pPr>
    </w:lvl>
    <w:lvl w:ilvl="4" w:tentative="0">
      <w:start w:val="1"/>
      <w:numFmt w:val="decimal"/>
      <w:pStyle w:val="42"/>
      <w:lvlText w:val="%1.%2.%3.%4.%5"/>
      <w:lvlJc w:val="left"/>
      <w:pPr>
        <w:tabs>
          <w:tab w:val="left" w:pos="1008"/>
        </w:tabs>
        <w:ind w:left="1008" w:hanging="1008"/>
      </w:pPr>
    </w:lvl>
    <w:lvl w:ilvl="5" w:tentative="0">
      <w:start w:val="1"/>
      <w:numFmt w:val="decimal"/>
      <w:pStyle w:val="43"/>
      <w:lvlText w:val="%1.%2.%3.%4.%5.%6"/>
      <w:lvlJc w:val="left"/>
      <w:pPr>
        <w:tabs>
          <w:tab w:val="left" w:pos="1152"/>
        </w:tabs>
        <w:ind w:left="1152" w:hanging="1152"/>
      </w:pPr>
    </w:lvl>
    <w:lvl w:ilvl="6" w:tentative="0">
      <w:start w:val="1"/>
      <w:numFmt w:val="decimal"/>
      <w:pStyle w:val="44"/>
      <w:lvlText w:val="%1.%2.%3.%4.%5.%6.%7"/>
      <w:lvlJc w:val="left"/>
      <w:pPr>
        <w:tabs>
          <w:tab w:val="left" w:pos="1296"/>
        </w:tabs>
        <w:ind w:left="1296" w:hanging="1296"/>
      </w:pPr>
    </w:lvl>
    <w:lvl w:ilvl="7" w:tentative="0">
      <w:start w:val="1"/>
      <w:numFmt w:val="decimal"/>
      <w:pStyle w:val="45"/>
      <w:lvlText w:val="%1.%2.%3.%4.%5.%6.%7.%8"/>
      <w:lvlJc w:val="left"/>
      <w:pPr>
        <w:tabs>
          <w:tab w:val="left" w:pos="1440"/>
        </w:tabs>
        <w:ind w:left="1440" w:hanging="1440"/>
      </w:pPr>
    </w:lvl>
    <w:lvl w:ilvl="8" w:tentative="0">
      <w:start w:val="1"/>
      <w:numFmt w:val="decimal"/>
      <w:pStyle w:val="46"/>
      <w:lvlText w:val="%1.%2.%3.%4.%5.%6.%7.%8.%9"/>
      <w:lvlJc w:val="left"/>
      <w:pPr>
        <w:tabs>
          <w:tab w:val="left" w:pos="1584"/>
        </w:tabs>
        <w:ind w:left="1584" w:hanging="1584"/>
      </w:pPr>
    </w:lvl>
  </w:abstractNum>
  <w:abstractNum w:abstractNumId="28">
    <w:nsid w:val="2FB60FA7"/>
    <w:multiLevelType w:val="multilevel"/>
    <w:tmpl w:val="2FB60F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0">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1">
    <w:nsid w:val="3A580DEC"/>
    <w:multiLevelType w:val="multilevel"/>
    <w:tmpl w:val="3A580D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3C0B2506"/>
    <w:multiLevelType w:val="multilevel"/>
    <w:tmpl w:val="3C0B25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3FA97B9A"/>
    <w:multiLevelType w:val="multilevel"/>
    <w:tmpl w:val="3FA97B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0D866DC"/>
    <w:multiLevelType w:val="multilevel"/>
    <w:tmpl w:val="40D866DC"/>
    <w:lvl w:ilvl="0" w:tentative="0">
      <w:start w:val="1"/>
      <w:numFmt w:val="bullet"/>
      <w:lvlText w:val=""/>
      <w:lvlJc w:val="left"/>
      <w:pPr>
        <w:tabs>
          <w:tab w:val="left" w:pos="720"/>
        </w:tabs>
        <w:ind w:left="720" w:hanging="360"/>
      </w:pPr>
      <w:rPr>
        <w:rFonts w:hint="default" w:ascii="Symbol" w:hAnsi="Symbol"/>
        <w:sz w:val="20"/>
        <w:szCs w:val="20"/>
      </w:rPr>
    </w:lvl>
    <w:lvl w:ilvl="1" w:tentative="0">
      <w:start w:val="1"/>
      <w:numFmt w:val="bullet"/>
      <w:lvlText w:val=""/>
      <w:lvlJc w:val="left"/>
      <w:pPr>
        <w:tabs>
          <w:tab w:val="left" w:pos="1440"/>
        </w:tabs>
        <w:ind w:left="1440" w:hanging="360"/>
      </w:pPr>
      <w:rPr>
        <w:rFonts w:hint="default" w:ascii="Symbol" w:hAnsi="Symbol"/>
        <w:sz w:val="20"/>
        <w:szCs w:val="20"/>
      </w:rPr>
    </w:lvl>
    <w:lvl w:ilvl="2" w:tentative="0">
      <w:start w:val="1"/>
      <w:numFmt w:val="bullet"/>
      <w:lvlText w:val=""/>
      <w:lvlJc w:val="left"/>
      <w:pPr>
        <w:tabs>
          <w:tab w:val="left" w:pos="2160"/>
        </w:tabs>
        <w:ind w:left="2160" w:hanging="360"/>
      </w:pPr>
      <w:rPr>
        <w:rFonts w:hint="default" w:ascii="Symbol" w:hAnsi="Symbol"/>
        <w:sz w:val="20"/>
        <w:szCs w:val="20"/>
      </w:rPr>
    </w:lvl>
    <w:lvl w:ilvl="3" w:tentative="0">
      <w:start w:val="1"/>
      <w:numFmt w:val="bullet"/>
      <w:lvlText w:val=""/>
      <w:lvlJc w:val="left"/>
      <w:pPr>
        <w:tabs>
          <w:tab w:val="left" w:pos="2880"/>
        </w:tabs>
        <w:ind w:left="2880" w:hanging="360"/>
      </w:pPr>
      <w:rPr>
        <w:rFonts w:hint="default" w:ascii="Symbol" w:hAnsi="Symbol"/>
        <w:sz w:val="20"/>
        <w:szCs w:val="20"/>
      </w:rPr>
    </w:lvl>
    <w:lvl w:ilvl="4" w:tentative="0">
      <w:start w:val="1"/>
      <w:numFmt w:val="bullet"/>
      <w:lvlText w:val=""/>
      <w:lvlJc w:val="left"/>
      <w:pPr>
        <w:tabs>
          <w:tab w:val="left" w:pos="3600"/>
        </w:tabs>
        <w:ind w:left="3600" w:hanging="360"/>
      </w:pPr>
      <w:rPr>
        <w:rFonts w:hint="default" w:ascii="Symbol" w:hAnsi="Symbol"/>
        <w:sz w:val="20"/>
        <w:szCs w:val="20"/>
      </w:rPr>
    </w:lvl>
    <w:lvl w:ilvl="5" w:tentative="0">
      <w:start w:val="1"/>
      <w:numFmt w:val="bullet"/>
      <w:lvlText w:val=""/>
      <w:lvlJc w:val="left"/>
      <w:pPr>
        <w:tabs>
          <w:tab w:val="left" w:pos="4320"/>
        </w:tabs>
        <w:ind w:left="4320" w:hanging="360"/>
      </w:pPr>
      <w:rPr>
        <w:rFonts w:hint="default" w:ascii="Symbol" w:hAnsi="Symbol"/>
        <w:sz w:val="20"/>
        <w:szCs w:val="20"/>
      </w:rPr>
    </w:lvl>
    <w:lvl w:ilvl="6" w:tentative="0">
      <w:start w:val="1"/>
      <w:numFmt w:val="bullet"/>
      <w:lvlText w:val=""/>
      <w:lvlJc w:val="left"/>
      <w:pPr>
        <w:tabs>
          <w:tab w:val="left" w:pos="5040"/>
        </w:tabs>
        <w:ind w:left="5040" w:hanging="360"/>
      </w:pPr>
      <w:rPr>
        <w:rFonts w:hint="default" w:ascii="Symbol" w:hAnsi="Symbol"/>
        <w:sz w:val="20"/>
        <w:szCs w:val="20"/>
      </w:rPr>
    </w:lvl>
    <w:lvl w:ilvl="7" w:tentative="0">
      <w:start w:val="1"/>
      <w:numFmt w:val="bullet"/>
      <w:lvlText w:val=""/>
      <w:lvlJc w:val="left"/>
      <w:pPr>
        <w:tabs>
          <w:tab w:val="left" w:pos="5760"/>
        </w:tabs>
        <w:ind w:left="5760" w:hanging="360"/>
      </w:pPr>
      <w:rPr>
        <w:rFonts w:hint="default" w:ascii="Symbol" w:hAnsi="Symbol"/>
        <w:sz w:val="20"/>
        <w:szCs w:val="20"/>
      </w:rPr>
    </w:lvl>
    <w:lvl w:ilvl="8" w:tentative="0">
      <w:start w:val="1"/>
      <w:numFmt w:val="bullet"/>
      <w:lvlText w:val=""/>
      <w:lvlJc w:val="left"/>
      <w:pPr>
        <w:tabs>
          <w:tab w:val="left" w:pos="6480"/>
        </w:tabs>
        <w:ind w:left="6480" w:hanging="360"/>
      </w:pPr>
      <w:rPr>
        <w:rFonts w:hint="default" w:ascii="Symbol" w:hAnsi="Symbol"/>
        <w:sz w:val="20"/>
        <w:szCs w:val="20"/>
      </w:rPr>
    </w:lvl>
  </w:abstractNum>
  <w:abstractNum w:abstractNumId="35">
    <w:nsid w:val="44DA6882"/>
    <w:multiLevelType w:val="singleLevel"/>
    <w:tmpl w:val="44DA6882"/>
    <w:lvl w:ilvl="0" w:tentative="0">
      <w:start w:val="1"/>
      <w:numFmt w:val="bullet"/>
      <w:lvlText w:val=""/>
      <w:lvlJc w:val="left"/>
      <w:pPr>
        <w:ind w:left="420" w:hanging="420"/>
      </w:pPr>
      <w:rPr>
        <w:rFonts w:hint="default" w:ascii="Wingdings" w:hAnsi="Wingdings"/>
      </w:rPr>
    </w:lvl>
  </w:abstractNum>
  <w:abstractNum w:abstractNumId="36">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4828744A"/>
    <w:multiLevelType w:val="multilevel"/>
    <w:tmpl w:val="4828744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48412A17"/>
    <w:multiLevelType w:val="multilevel"/>
    <w:tmpl w:val="48412A17"/>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5081246A"/>
    <w:multiLevelType w:val="multilevel"/>
    <w:tmpl w:val="5081246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0">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4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3">
    <w:nsid w:val="5B0D42D6"/>
    <w:multiLevelType w:val="multilevel"/>
    <w:tmpl w:val="5B0D42D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4">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5">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63090A76"/>
    <w:multiLevelType w:val="multilevel"/>
    <w:tmpl w:val="63090A76"/>
    <w:lvl w:ilvl="0" w:tentative="0">
      <w:start w:val="1"/>
      <w:numFmt w:val="decimal"/>
      <w:lvlText w:val="%1"/>
      <w:lvlJc w:val="left"/>
      <w:pPr>
        <w:tabs>
          <w:tab w:val="left" w:pos="432"/>
        </w:tabs>
        <w:ind w:left="432" w:hanging="432"/>
      </w:pPr>
      <w:rPr>
        <w:i w:val="0"/>
        <w:lang w:val="en-US"/>
      </w:rPr>
    </w:lvl>
    <w:lvl w:ilvl="1" w:tentative="0">
      <w:start w:val="1"/>
      <w:numFmt w:val="decimal"/>
      <w:lvlText w:val="%1.%2"/>
      <w:lvlJc w:val="left"/>
      <w:pPr>
        <w:tabs>
          <w:tab w:val="left" w:pos="576"/>
        </w:tabs>
        <w:ind w:left="576" w:hanging="576"/>
      </w:pPr>
      <w:rPr>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7">
    <w:nsid w:val="6EB60A02"/>
    <w:multiLevelType w:val="multilevel"/>
    <w:tmpl w:val="6EB60A0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8">
    <w:nsid w:val="6F847B4A"/>
    <w:multiLevelType w:val="multilevel"/>
    <w:tmpl w:val="6F847B4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9">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78215B16"/>
    <w:multiLevelType w:val="multilevel"/>
    <w:tmpl w:val="78215B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79DB16A0"/>
    <w:multiLevelType w:val="multilevel"/>
    <w:tmpl w:val="79DB16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7BAA6A00"/>
    <w:multiLevelType w:val="multilevel"/>
    <w:tmpl w:val="7BAA6A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7C910BF2"/>
    <w:multiLevelType w:val="multilevel"/>
    <w:tmpl w:val="7C910BF2"/>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7">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9"/>
  </w:num>
  <w:num w:numId="2">
    <w:abstractNumId w:val="27"/>
  </w:num>
  <w:num w:numId="3">
    <w:abstractNumId w:val="46"/>
  </w:num>
  <w:num w:numId="4">
    <w:abstractNumId w:val="49"/>
  </w:num>
  <w:num w:numId="5">
    <w:abstractNumId w:val="26"/>
  </w:num>
  <w:num w:numId="6">
    <w:abstractNumId w:val="25"/>
  </w:num>
  <w:num w:numId="7">
    <w:abstractNumId w:val="44"/>
  </w:num>
  <w:num w:numId="8">
    <w:abstractNumId w:val="36"/>
  </w:num>
  <w:num w:numId="9">
    <w:abstractNumId w:val="38"/>
  </w:num>
  <w:num w:numId="10">
    <w:abstractNumId w:val="12"/>
  </w:num>
  <w:num w:numId="11">
    <w:abstractNumId w:val="56"/>
  </w:num>
  <w:num w:numId="12">
    <w:abstractNumId w:val="45"/>
  </w:num>
  <w:num w:numId="13">
    <w:abstractNumId w:val="31"/>
  </w:num>
  <w:num w:numId="14">
    <w:abstractNumId w:val="33"/>
  </w:num>
  <w:num w:numId="15">
    <w:abstractNumId w:val="39"/>
  </w:num>
  <w:num w:numId="16">
    <w:abstractNumId w:val="4"/>
  </w:num>
  <w:num w:numId="17">
    <w:abstractNumId w:val="1"/>
  </w:num>
  <w:num w:numId="18">
    <w:abstractNumId w:val="41"/>
  </w:num>
  <w:num w:numId="19">
    <w:abstractNumId w:val="7"/>
  </w:num>
  <w:num w:numId="20">
    <w:abstractNumId w:val="23"/>
  </w:num>
  <w:num w:numId="21">
    <w:abstractNumId w:val="43"/>
  </w:num>
  <w:num w:numId="22">
    <w:abstractNumId w:val="34"/>
  </w:num>
  <w:num w:numId="23">
    <w:abstractNumId w:val="16"/>
  </w:num>
  <w:num w:numId="24">
    <w:abstractNumId w:val="53"/>
  </w:num>
  <w:num w:numId="25">
    <w:abstractNumId w:val="37"/>
  </w:num>
  <w:num w:numId="26">
    <w:abstractNumId w:val="47"/>
  </w:num>
  <w:num w:numId="27">
    <w:abstractNumId w:val="55"/>
  </w:num>
  <w:num w:numId="28">
    <w:abstractNumId w:val="28"/>
  </w:num>
  <w:num w:numId="29">
    <w:abstractNumId w:val="22"/>
  </w:num>
  <w:num w:numId="30">
    <w:abstractNumId w:val="52"/>
  </w:num>
  <w:num w:numId="31">
    <w:abstractNumId w:val="24"/>
  </w:num>
  <w:num w:numId="32">
    <w:abstractNumId w:val="42"/>
  </w:num>
  <w:num w:numId="33">
    <w:abstractNumId w:val="10"/>
  </w:num>
  <w:num w:numId="34">
    <w:abstractNumId w:val="15"/>
  </w:num>
  <w:num w:numId="35">
    <w:abstractNumId w:val="17"/>
  </w:num>
  <w:num w:numId="36">
    <w:abstractNumId w:val="18"/>
  </w:num>
  <w:num w:numId="37">
    <w:abstractNumId w:val="19"/>
  </w:num>
  <w:num w:numId="38">
    <w:abstractNumId w:val="21"/>
  </w:num>
  <w:num w:numId="39">
    <w:abstractNumId w:val="20"/>
  </w:num>
  <w:num w:numId="40">
    <w:abstractNumId w:val="48"/>
  </w:num>
  <w:num w:numId="41">
    <w:abstractNumId w:val="35"/>
  </w:num>
  <w:num w:numId="42">
    <w:abstractNumId w:val="30"/>
  </w:num>
  <w:num w:numId="43">
    <w:abstractNumId w:val="11"/>
  </w:num>
  <w:num w:numId="44">
    <w:abstractNumId w:val="13"/>
  </w:num>
  <w:num w:numId="45">
    <w:abstractNumId w:val="32"/>
  </w:num>
  <w:num w:numId="46">
    <w:abstractNumId w:val="5"/>
  </w:num>
  <w:num w:numId="47">
    <w:abstractNumId w:val="3"/>
  </w:num>
  <w:num w:numId="48">
    <w:abstractNumId w:val="54"/>
  </w:num>
  <w:num w:numId="49">
    <w:abstractNumId w:val="51"/>
  </w:num>
  <w:num w:numId="50">
    <w:abstractNumId w:val="40"/>
  </w:num>
  <w:num w:numId="51">
    <w:abstractNumId w:val="57"/>
  </w:num>
  <w:num w:numId="52">
    <w:abstractNumId w:val="50"/>
  </w:num>
  <w:num w:numId="53">
    <w:abstractNumId w:val="0"/>
  </w:num>
  <w:num w:numId="54">
    <w:abstractNumId w:val="14"/>
  </w:num>
  <w:num w:numId="55">
    <w:abstractNumId w:val="8"/>
  </w:num>
  <w:num w:numId="56">
    <w:abstractNumId w:val="2"/>
  </w:num>
  <w:num w:numId="57">
    <w:abstractNumId w:val="6"/>
  </w:num>
  <w:num w:numId="5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hai Enescu">
    <w15:presenceInfo w15:providerId="None" w15:userId="Mihai Enescu"/>
  </w15:person>
  <w15:person w15:author="Alexandros Manolakos">
    <w15:presenceInfo w15:providerId="AD" w15:userId="S::amanolak@qti.qualcomm.com::30740036-014e-4ac5-85d2-b3c14166ffcc"/>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hideGrammaticalErrors/>
  <w:documentProtection w:enforcement="0"/>
  <w:defaultTabStop w:val="720"/>
  <w:autoHyphenation/>
  <w:hyphenationZone w:val="425"/>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2986"/>
    <w:rsid w:val="00003AAD"/>
    <w:rsid w:val="00004A3F"/>
    <w:rsid w:val="00005DD4"/>
    <w:rsid w:val="000061FB"/>
    <w:rsid w:val="00006993"/>
    <w:rsid w:val="000069E4"/>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972"/>
    <w:rsid w:val="00021E9B"/>
    <w:rsid w:val="0002218E"/>
    <w:rsid w:val="0002238A"/>
    <w:rsid w:val="000223AB"/>
    <w:rsid w:val="0002290A"/>
    <w:rsid w:val="00022EE4"/>
    <w:rsid w:val="00024509"/>
    <w:rsid w:val="000250C9"/>
    <w:rsid w:val="0002646F"/>
    <w:rsid w:val="0002648B"/>
    <w:rsid w:val="00026558"/>
    <w:rsid w:val="00026A10"/>
    <w:rsid w:val="0002757A"/>
    <w:rsid w:val="00030931"/>
    <w:rsid w:val="00031012"/>
    <w:rsid w:val="000327BA"/>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679E"/>
    <w:rsid w:val="000570D4"/>
    <w:rsid w:val="00061456"/>
    <w:rsid w:val="00061506"/>
    <w:rsid w:val="0006218C"/>
    <w:rsid w:val="0006282B"/>
    <w:rsid w:val="00062863"/>
    <w:rsid w:val="00062BFB"/>
    <w:rsid w:val="00064863"/>
    <w:rsid w:val="00064A32"/>
    <w:rsid w:val="0006658E"/>
    <w:rsid w:val="00066D3D"/>
    <w:rsid w:val="0006729E"/>
    <w:rsid w:val="00070136"/>
    <w:rsid w:val="00070AD3"/>
    <w:rsid w:val="0007268D"/>
    <w:rsid w:val="00072969"/>
    <w:rsid w:val="00072B5C"/>
    <w:rsid w:val="000732E3"/>
    <w:rsid w:val="00073FA0"/>
    <w:rsid w:val="00074755"/>
    <w:rsid w:val="00074D69"/>
    <w:rsid w:val="000755B1"/>
    <w:rsid w:val="00075BE5"/>
    <w:rsid w:val="00076DF2"/>
    <w:rsid w:val="00077175"/>
    <w:rsid w:val="000779BF"/>
    <w:rsid w:val="00080A13"/>
    <w:rsid w:val="0008140E"/>
    <w:rsid w:val="000822DF"/>
    <w:rsid w:val="00082756"/>
    <w:rsid w:val="00085A26"/>
    <w:rsid w:val="00085C00"/>
    <w:rsid w:val="00090181"/>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4C7"/>
    <w:rsid w:val="000A18FF"/>
    <w:rsid w:val="000A22FD"/>
    <w:rsid w:val="000A2ED0"/>
    <w:rsid w:val="000A40BF"/>
    <w:rsid w:val="000A4185"/>
    <w:rsid w:val="000A4A28"/>
    <w:rsid w:val="000A50D7"/>
    <w:rsid w:val="000A6606"/>
    <w:rsid w:val="000B0293"/>
    <w:rsid w:val="000B052F"/>
    <w:rsid w:val="000B079A"/>
    <w:rsid w:val="000B09FA"/>
    <w:rsid w:val="000B2969"/>
    <w:rsid w:val="000B3610"/>
    <w:rsid w:val="000B38B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2D20"/>
    <w:rsid w:val="000F3466"/>
    <w:rsid w:val="000F3B2A"/>
    <w:rsid w:val="000F3BDC"/>
    <w:rsid w:val="000F4A3B"/>
    <w:rsid w:val="000F65BE"/>
    <w:rsid w:val="00101040"/>
    <w:rsid w:val="00101543"/>
    <w:rsid w:val="00101937"/>
    <w:rsid w:val="00103807"/>
    <w:rsid w:val="00103B82"/>
    <w:rsid w:val="001055C3"/>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A38"/>
    <w:rsid w:val="00167CD7"/>
    <w:rsid w:val="0017005A"/>
    <w:rsid w:val="00170486"/>
    <w:rsid w:val="001708DF"/>
    <w:rsid w:val="00171744"/>
    <w:rsid w:val="00171CFC"/>
    <w:rsid w:val="001738AB"/>
    <w:rsid w:val="00173998"/>
    <w:rsid w:val="00173CB9"/>
    <w:rsid w:val="001746EC"/>
    <w:rsid w:val="00174CF2"/>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1BA"/>
    <w:rsid w:val="001A63D6"/>
    <w:rsid w:val="001A6456"/>
    <w:rsid w:val="001A75E7"/>
    <w:rsid w:val="001A79A6"/>
    <w:rsid w:val="001A7CA2"/>
    <w:rsid w:val="001B08DA"/>
    <w:rsid w:val="001B0CC7"/>
    <w:rsid w:val="001B1007"/>
    <w:rsid w:val="001B14F6"/>
    <w:rsid w:val="001B1742"/>
    <w:rsid w:val="001B35E2"/>
    <w:rsid w:val="001B3CBC"/>
    <w:rsid w:val="001B4D8B"/>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E783C"/>
    <w:rsid w:val="001F0267"/>
    <w:rsid w:val="001F1E0D"/>
    <w:rsid w:val="001F2A3E"/>
    <w:rsid w:val="001F3A78"/>
    <w:rsid w:val="001F519B"/>
    <w:rsid w:val="001F6265"/>
    <w:rsid w:val="001F635D"/>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6C8"/>
    <w:rsid w:val="002543DB"/>
    <w:rsid w:val="00256050"/>
    <w:rsid w:val="002567AB"/>
    <w:rsid w:val="002571B5"/>
    <w:rsid w:val="002574A4"/>
    <w:rsid w:val="0025765C"/>
    <w:rsid w:val="002579C6"/>
    <w:rsid w:val="0026121C"/>
    <w:rsid w:val="002613EF"/>
    <w:rsid w:val="00262913"/>
    <w:rsid w:val="00263FF7"/>
    <w:rsid w:val="00265158"/>
    <w:rsid w:val="0026560B"/>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2397"/>
    <w:rsid w:val="002933FF"/>
    <w:rsid w:val="0029362B"/>
    <w:rsid w:val="002947AC"/>
    <w:rsid w:val="0029730A"/>
    <w:rsid w:val="00297E31"/>
    <w:rsid w:val="002A1183"/>
    <w:rsid w:val="002A1BDB"/>
    <w:rsid w:val="002A22DF"/>
    <w:rsid w:val="002A31B4"/>
    <w:rsid w:val="002A38EC"/>
    <w:rsid w:val="002A3D4A"/>
    <w:rsid w:val="002A46A6"/>
    <w:rsid w:val="002A5004"/>
    <w:rsid w:val="002A5E66"/>
    <w:rsid w:val="002A630D"/>
    <w:rsid w:val="002A6461"/>
    <w:rsid w:val="002A6B6E"/>
    <w:rsid w:val="002A7AB8"/>
    <w:rsid w:val="002B37EA"/>
    <w:rsid w:val="002B3E1E"/>
    <w:rsid w:val="002B48D6"/>
    <w:rsid w:val="002B4EA5"/>
    <w:rsid w:val="002B5092"/>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E6D"/>
    <w:rsid w:val="002D30F7"/>
    <w:rsid w:val="002D3911"/>
    <w:rsid w:val="002D4A16"/>
    <w:rsid w:val="002D5533"/>
    <w:rsid w:val="002D5FA5"/>
    <w:rsid w:val="002E0457"/>
    <w:rsid w:val="002E0E74"/>
    <w:rsid w:val="002E1439"/>
    <w:rsid w:val="002E1E52"/>
    <w:rsid w:val="002E2F16"/>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7BA"/>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6CEB"/>
    <w:rsid w:val="003300D4"/>
    <w:rsid w:val="00330DD8"/>
    <w:rsid w:val="00330DDC"/>
    <w:rsid w:val="00332D63"/>
    <w:rsid w:val="00333B68"/>
    <w:rsid w:val="0033454B"/>
    <w:rsid w:val="00334704"/>
    <w:rsid w:val="003353F1"/>
    <w:rsid w:val="003377FE"/>
    <w:rsid w:val="00340A9D"/>
    <w:rsid w:val="00341301"/>
    <w:rsid w:val="00341B01"/>
    <w:rsid w:val="00342827"/>
    <w:rsid w:val="00342B56"/>
    <w:rsid w:val="00342F0E"/>
    <w:rsid w:val="0034304A"/>
    <w:rsid w:val="00344997"/>
    <w:rsid w:val="00344BC7"/>
    <w:rsid w:val="00345B21"/>
    <w:rsid w:val="003464DE"/>
    <w:rsid w:val="00347369"/>
    <w:rsid w:val="003503B1"/>
    <w:rsid w:val="00350516"/>
    <w:rsid w:val="003512DD"/>
    <w:rsid w:val="00351D88"/>
    <w:rsid w:val="00353C35"/>
    <w:rsid w:val="00354775"/>
    <w:rsid w:val="00354AAB"/>
    <w:rsid w:val="00355948"/>
    <w:rsid w:val="00355C5C"/>
    <w:rsid w:val="0035631A"/>
    <w:rsid w:val="00357804"/>
    <w:rsid w:val="00357BCB"/>
    <w:rsid w:val="00360B74"/>
    <w:rsid w:val="00361D02"/>
    <w:rsid w:val="00361DA8"/>
    <w:rsid w:val="00362366"/>
    <w:rsid w:val="003647CF"/>
    <w:rsid w:val="00364BA7"/>
    <w:rsid w:val="00366B8B"/>
    <w:rsid w:val="00367F05"/>
    <w:rsid w:val="003704E4"/>
    <w:rsid w:val="00370D38"/>
    <w:rsid w:val="00371773"/>
    <w:rsid w:val="00372225"/>
    <w:rsid w:val="00372C0E"/>
    <w:rsid w:val="00372E9D"/>
    <w:rsid w:val="0037329F"/>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2290"/>
    <w:rsid w:val="003931C5"/>
    <w:rsid w:val="003933CE"/>
    <w:rsid w:val="003937E6"/>
    <w:rsid w:val="00393BE0"/>
    <w:rsid w:val="00393F28"/>
    <w:rsid w:val="00395CF1"/>
    <w:rsid w:val="00396666"/>
    <w:rsid w:val="00396DFD"/>
    <w:rsid w:val="00396E1D"/>
    <w:rsid w:val="003971D3"/>
    <w:rsid w:val="003975A1"/>
    <w:rsid w:val="00397C1A"/>
    <w:rsid w:val="00397C51"/>
    <w:rsid w:val="003A06B3"/>
    <w:rsid w:val="003A0D67"/>
    <w:rsid w:val="003A12F1"/>
    <w:rsid w:val="003A2F0B"/>
    <w:rsid w:val="003A3CA4"/>
    <w:rsid w:val="003A5221"/>
    <w:rsid w:val="003A6A3F"/>
    <w:rsid w:val="003B046F"/>
    <w:rsid w:val="003B262F"/>
    <w:rsid w:val="003B29C6"/>
    <w:rsid w:val="003B300B"/>
    <w:rsid w:val="003B38A0"/>
    <w:rsid w:val="003B3B2B"/>
    <w:rsid w:val="003B41F7"/>
    <w:rsid w:val="003B4AA9"/>
    <w:rsid w:val="003B50EB"/>
    <w:rsid w:val="003B587A"/>
    <w:rsid w:val="003B64D3"/>
    <w:rsid w:val="003B6C97"/>
    <w:rsid w:val="003B6EB1"/>
    <w:rsid w:val="003B7F55"/>
    <w:rsid w:val="003C12FD"/>
    <w:rsid w:val="003C2222"/>
    <w:rsid w:val="003C2A20"/>
    <w:rsid w:val="003C2B68"/>
    <w:rsid w:val="003C344A"/>
    <w:rsid w:val="003C3587"/>
    <w:rsid w:val="003C65AB"/>
    <w:rsid w:val="003C77FF"/>
    <w:rsid w:val="003D1E8E"/>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673"/>
    <w:rsid w:val="003F28BC"/>
    <w:rsid w:val="003F3917"/>
    <w:rsid w:val="003F3964"/>
    <w:rsid w:val="003F40DE"/>
    <w:rsid w:val="003F43DC"/>
    <w:rsid w:val="003F5656"/>
    <w:rsid w:val="003F6074"/>
    <w:rsid w:val="003F6AA5"/>
    <w:rsid w:val="003F6CB4"/>
    <w:rsid w:val="003F74F5"/>
    <w:rsid w:val="004002A2"/>
    <w:rsid w:val="00400E0B"/>
    <w:rsid w:val="00401A3F"/>
    <w:rsid w:val="00402206"/>
    <w:rsid w:val="00402A86"/>
    <w:rsid w:val="00402CC2"/>
    <w:rsid w:val="00402D94"/>
    <w:rsid w:val="00403338"/>
    <w:rsid w:val="00403FF7"/>
    <w:rsid w:val="004045BD"/>
    <w:rsid w:val="00404A1A"/>
    <w:rsid w:val="00404D92"/>
    <w:rsid w:val="004052BC"/>
    <w:rsid w:val="004064C0"/>
    <w:rsid w:val="00406718"/>
    <w:rsid w:val="00406CC7"/>
    <w:rsid w:val="004107E5"/>
    <w:rsid w:val="00411371"/>
    <w:rsid w:val="004119B9"/>
    <w:rsid w:val="0041244D"/>
    <w:rsid w:val="00412C50"/>
    <w:rsid w:val="0041555B"/>
    <w:rsid w:val="004159CC"/>
    <w:rsid w:val="00415DE0"/>
    <w:rsid w:val="0042212A"/>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824"/>
    <w:rsid w:val="00477A55"/>
    <w:rsid w:val="00477BC9"/>
    <w:rsid w:val="00480F6D"/>
    <w:rsid w:val="00483E4F"/>
    <w:rsid w:val="00483ECE"/>
    <w:rsid w:val="00484084"/>
    <w:rsid w:val="00484FAB"/>
    <w:rsid w:val="0048602F"/>
    <w:rsid w:val="004867B4"/>
    <w:rsid w:val="00486EE9"/>
    <w:rsid w:val="004904FE"/>
    <w:rsid w:val="00490697"/>
    <w:rsid w:val="00490FC9"/>
    <w:rsid w:val="00491FFF"/>
    <w:rsid w:val="004925FB"/>
    <w:rsid w:val="00492A44"/>
    <w:rsid w:val="00494340"/>
    <w:rsid w:val="0049549E"/>
    <w:rsid w:val="00496754"/>
    <w:rsid w:val="004976F6"/>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339"/>
    <w:rsid w:val="004B5744"/>
    <w:rsid w:val="004B6924"/>
    <w:rsid w:val="004B7338"/>
    <w:rsid w:val="004B767A"/>
    <w:rsid w:val="004C0197"/>
    <w:rsid w:val="004C14ED"/>
    <w:rsid w:val="004C33D8"/>
    <w:rsid w:val="004C48C0"/>
    <w:rsid w:val="004C6B9B"/>
    <w:rsid w:val="004C768B"/>
    <w:rsid w:val="004D062B"/>
    <w:rsid w:val="004D0859"/>
    <w:rsid w:val="004D0FCD"/>
    <w:rsid w:val="004D2DC9"/>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F005D"/>
    <w:rsid w:val="004F1FC0"/>
    <w:rsid w:val="004F288C"/>
    <w:rsid w:val="004F316A"/>
    <w:rsid w:val="004F3A61"/>
    <w:rsid w:val="004F4422"/>
    <w:rsid w:val="004F5674"/>
    <w:rsid w:val="004F58B9"/>
    <w:rsid w:val="004F60FA"/>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2C24"/>
    <w:rsid w:val="005235FD"/>
    <w:rsid w:val="005239D0"/>
    <w:rsid w:val="00523AFA"/>
    <w:rsid w:val="00524701"/>
    <w:rsid w:val="00524973"/>
    <w:rsid w:val="00524BCF"/>
    <w:rsid w:val="00525322"/>
    <w:rsid w:val="00525D99"/>
    <w:rsid w:val="0052663D"/>
    <w:rsid w:val="00526B6E"/>
    <w:rsid w:val="00527675"/>
    <w:rsid w:val="005277AF"/>
    <w:rsid w:val="00527A68"/>
    <w:rsid w:val="005303CF"/>
    <w:rsid w:val="005306E4"/>
    <w:rsid w:val="00531B0E"/>
    <w:rsid w:val="00532136"/>
    <w:rsid w:val="0053231F"/>
    <w:rsid w:val="00533C71"/>
    <w:rsid w:val="00533FFF"/>
    <w:rsid w:val="00534A90"/>
    <w:rsid w:val="00535674"/>
    <w:rsid w:val="005357BA"/>
    <w:rsid w:val="00535B6C"/>
    <w:rsid w:val="00535D8A"/>
    <w:rsid w:val="00536997"/>
    <w:rsid w:val="00537297"/>
    <w:rsid w:val="0054028F"/>
    <w:rsid w:val="00541B45"/>
    <w:rsid w:val="00542611"/>
    <w:rsid w:val="00543033"/>
    <w:rsid w:val="005430E0"/>
    <w:rsid w:val="0054343C"/>
    <w:rsid w:val="005443B4"/>
    <w:rsid w:val="005449BA"/>
    <w:rsid w:val="00544BD2"/>
    <w:rsid w:val="00545E93"/>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36D4"/>
    <w:rsid w:val="00563C39"/>
    <w:rsid w:val="005642B4"/>
    <w:rsid w:val="00564D25"/>
    <w:rsid w:val="00565099"/>
    <w:rsid w:val="005657CE"/>
    <w:rsid w:val="005666D7"/>
    <w:rsid w:val="00567402"/>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3A24"/>
    <w:rsid w:val="00583D70"/>
    <w:rsid w:val="00585581"/>
    <w:rsid w:val="005859EC"/>
    <w:rsid w:val="00585E88"/>
    <w:rsid w:val="00586D86"/>
    <w:rsid w:val="00587279"/>
    <w:rsid w:val="00587EC0"/>
    <w:rsid w:val="005901FC"/>
    <w:rsid w:val="0059024F"/>
    <w:rsid w:val="00590CCF"/>
    <w:rsid w:val="005927D2"/>
    <w:rsid w:val="00592D0D"/>
    <w:rsid w:val="0059325A"/>
    <w:rsid w:val="00593FCE"/>
    <w:rsid w:val="0059427F"/>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5506"/>
    <w:rsid w:val="005B67FF"/>
    <w:rsid w:val="005B75B1"/>
    <w:rsid w:val="005C0055"/>
    <w:rsid w:val="005C02CD"/>
    <w:rsid w:val="005C042D"/>
    <w:rsid w:val="005C0658"/>
    <w:rsid w:val="005C0830"/>
    <w:rsid w:val="005C0BBD"/>
    <w:rsid w:val="005C0EB9"/>
    <w:rsid w:val="005C33D4"/>
    <w:rsid w:val="005C3DB0"/>
    <w:rsid w:val="005C5602"/>
    <w:rsid w:val="005C77FF"/>
    <w:rsid w:val="005D1B11"/>
    <w:rsid w:val="005D2221"/>
    <w:rsid w:val="005D228A"/>
    <w:rsid w:val="005D24AB"/>
    <w:rsid w:val="005D274A"/>
    <w:rsid w:val="005D3A0F"/>
    <w:rsid w:val="005D5147"/>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B13"/>
    <w:rsid w:val="00600D2B"/>
    <w:rsid w:val="006012B0"/>
    <w:rsid w:val="0060305F"/>
    <w:rsid w:val="0060359B"/>
    <w:rsid w:val="00603A56"/>
    <w:rsid w:val="006044FD"/>
    <w:rsid w:val="006065BA"/>
    <w:rsid w:val="0060752B"/>
    <w:rsid w:val="0060758C"/>
    <w:rsid w:val="006075F9"/>
    <w:rsid w:val="00611EBA"/>
    <w:rsid w:val="00612253"/>
    <w:rsid w:val="006129C9"/>
    <w:rsid w:val="0061333A"/>
    <w:rsid w:val="00613984"/>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6690"/>
    <w:rsid w:val="006408F8"/>
    <w:rsid w:val="00640BFF"/>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5F95"/>
    <w:rsid w:val="00666470"/>
    <w:rsid w:val="006674B9"/>
    <w:rsid w:val="00667FFC"/>
    <w:rsid w:val="00670EE4"/>
    <w:rsid w:val="00671673"/>
    <w:rsid w:val="00671CFE"/>
    <w:rsid w:val="006721C6"/>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AED"/>
    <w:rsid w:val="006948B9"/>
    <w:rsid w:val="006949E3"/>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381"/>
    <w:rsid w:val="006D76DB"/>
    <w:rsid w:val="006D7790"/>
    <w:rsid w:val="006D7A66"/>
    <w:rsid w:val="006E106B"/>
    <w:rsid w:val="006E2526"/>
    <w:rsid w:val="006E341F"/>
    <w:rsid w:val="006E3740"/>
    <w:rsid w:val="006E5136"/>
    <w:rsid w:val="006E535A"/>
    <w:rsid w:val="006E5D1D"/>
    <w:rsid w:val="006E5E48"/>
    <w:rsid w:val="006E5EAC"/>
    <w:rsid w:val="006E65B8"/>
    <w:rsid w:val="006E742D"/>
    <w:rsid w:val="006E7FFA"/>
    <w:rsid w:val="006F14F5"/>
    <w:rsid w:val="006F2378"/>
    <w:rsid w:val="006F3E79"/>
    <w:rsid w:val="006F3FAF"/>
    <w:rsid w:val="006F52C3"/>
    <w:rsid w:val="006F5359"/>
    <w:rsid w:val="006F5AD7"/>
    <w:rsid w:val="006F625C"/>
    <w:rsid w:val="006F707C"/>
    <w:rsid w:val="0070000E"/>
    <w:rsid w:val="0070002C"/>
    <w:rsid w:val="007012E2"/>
    <w:rsid w:val="0070206B"/>
    <w:rsid w:val="0070281A"/>
    <w:rsid w:val="007038DD"/>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66A"/>
    <w:rsid w:val="0073286A"/>
    <w:rsid w:val="00733CE6"/>
    <w:rsid w:val="00733DBA"/>
    <w:rsid w:val="007345FD"/>
    <w:rsid w:val="00734AAE"/>
    <w:rsid w:val="00735703"/>
    <w:rsid w:val="007367E9"/>
    <w:rsid w:val="00736D19"/>
    <w:rsid w:val="007373D8"/>
    <w:rsid w:val="00737BD6"/>
    <w:rsid w:val="00740485"/>
    <w:rsid w:val="0074166E"/>
    <w:rsid w:val="00742301"/>
    <w:rsid w:val="00742FAA"/>
    <w:rsid w:val="00743676"/>
    <w:rsid w:val="00744687"/>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FB1"/>
    <w:rsid w:val="0077004B"/>
    <w:rsid w:val="00771192"/>
    <w:rsid w:val="00771E15"/>
    <w:rsid w:val="00775CF9"/>
    <w:rsid w:val="0077678E"/>
    <w:rsid w:val="00776B71"/>
    <w:rsid w:val="007771CB"/>
    <w:rsid w:val="00777704"/>
    <w:rsid w:val="0078042C"/>
    <w:rsid w:val="007814BA"/>
    <w:rsid w:val="007825C2"/>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6A0"/>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3018"/>
    <w:rsid w:val="007C48CD"/>
    <w:rsid w:val="007C49B7"/>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0102"/>
    <w:rsid w:val="00811FA3"/>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42CE"/>
    <w:rsid w:val="0083433E"/>
    <w:rsid w:val="00835769"/>
    <w:rsid w:val="00836E2A"/>
    <w:rsid w:val="00837EF5"/>
    <w:rsid w:val="008413C5"/>
    <w:rsid w:val="00841980"/>
    <w:rsid w:val="00841C1F"/>
    <w:rsid w:val="00842167"/>
    <w:rsid w:val="00842509"/>
    <w:rsid w:val="008430E2"/>
    <w:rsid w:val="008433E6"/>
    <w:rsid w:val="008434DC"/>
    <w:rsid w:val="00843EA9"/>
    <w:rsid w:val="0084739A"/>
    <w:rsid w:val="00847A1D"/>
    <w:rsid w:val="00847C30"/>
    <w:rsid w:val="00847CF9"/>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61BB"/>
    <w:rsid w:val="008C0FEA"/>
    <w:rsid w:val="008C109A"/>
    <w:rsid w:val="008C20C1"/>
    <w:rsid w:val="008C233A"/>
    <w:rsid w:val="008C34A3"/>
    <w:rsid w:val="008C44CC"/>
    <w:rsid w:val="008C4CC7"/>
    <w:rsid w:val="008C633A"/>
    <w:rsid w:val="008C720A"/>
    <w:rsid w:val="008D061B"/>
    <w:rsid w:val="008D28C4"/>
    <w:rsid w:val="008D2ABC"/>
    <w:rsid w:val="008D2E22"/>
    <w:rsid w:val="008D31F5"/>
    <w:rsid w:val="008D43E5"/>
    <w:rsid w:val="008D68FE"/>
    <w:rsid w:val="008D6F42"/>
    <w:rsid w:val="008D757F"/>
    <w:rsid w:val="008D7EC3"/>
    <w:rsid w:val="008E0328"/>
    <w:rsid w:val="008E07BB"/>
    <w:rsid w:val="008E082F"/>
    <w:rsid w:val="008E16F0"/>
    <w:rsid w:val="008E1865"/>
    <w:rsid w:val="008E22EB"/>
    <w:rsid w:val="008E39BF"/>
    <w:rsid w:val="008E4942"/>
    <w:rsid w:val="008E4AF9"/>
    <w:rsid w:val="008E4EF6"/>
    <w:rsid w:val="008E7112"/>
    <w:rsid w:val="008E712C"/>
    <w:rsid w:val="008E74B4"/>
    <w:rsid w:val="008E7813"/>
    <w:rsid w:val="008F0D66"/>
    <w:rsid w:val="008F24FF"/>
    <w:rsid w:val="008F317A"/>
    <w:rsid w:val="008F3788"/>
    <w:rsid w:val="008F5B10"/>
    <w:rsid w:val="008F6D58"/>
    <w:rsid w:val="008F76D7"/>
    <w:rsid w:val="008F7E32"/>
    <w:rsid w:val="009003C5"/>
    <w:rsid w:val="00900917"/>
    <w:rsid w:val="00900F10"/>
    <w:rsid w:val="009012A1"/>
    <w:rsid w:val="0090132C"/>
    <w:rsid w:val="009013F3"/>
    <w:rsid w:val="0090292E"/>
    <w:rsid w:val="009031DC"/>
    <w:rsid w:val="00903F84"/>
    <w:rsid w:val="00904E5C"/>
    <w:rsid w:val="00905E6C"/>
    <w:rsid w:val="009071BB"/>
    <w:rsid w:val="00907CC2"/>
    <w:rsid w:val="00907F7F"/>
    <w:rsid w:val="00910C82"/>
    <w:rsid w:val="00911826"/>
    <w:rsid w:val="00912237"/>
    <w:rsid w:val="00912B97"/>
    <w:rsid w:val="00913E1D"/>
    <w:rsid w:val="00913E8C"/>
    <w:rsid w:val="0091457D"/>
    <w:rsid w:val="00915493"/>
    <w:rsid w:val="00915866"/>
    <w:rsid w:val="00916395"/>
    <w:rsid w:val="00916F4C"/>
    <w:rsid w:val="009172E6"/>
    <w:rsid w:val="009174F7"/>
    <w:rsid w:val="00917F6D"/>
    <w:rsid w:val="00920790"/>
    <w:rsid w:val="0092110A"/>
    <w:rsid w:val="0092118C"/>
    <w:rsid w:val="0092150E"/>
    <w:rsid w:val="00922828"/>
    <w:rsid w:val="009238B2"/>
    <w:rsid w:val="00923FFC"/>
    <w:rsid w:val="009243C5"/>
    <w:rsid w:val="00925124"/>
    <w:rsid w:val="00925354"/>
    <w:rsid w:val="009257DC"/>
    <w:rsid w:val="00926618"/>
    <w:rsid w:val="0092741D"/>
    <w:rsid w:val="00927DC7"/>
    <w:rsid w:val="00927FE5"/>
    <w:rsid w:val="00930228"/>
    <w:rsid w:val="009311C9"/>
    <w:rsid w:val="009315D8"/>
    <w:rsid w:val="00931CDC"/>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43F31"/>
    <w:rsid w:val="0095053D"/>
    <w:rsid w:val="0095117E"/>
    <w:rsid w:val="00952163"/>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1D2"/>
    <w:rsid w:val="00966B7C"/>
    <w:rsid w:val="00967613"/>
    <w:rsid w:val="00967832"/>
    <w:rsid w:val="00967F47"/>
    <w:rsid w:val="00970C2F"/>
    <w:rsid w:val="00970E15"/>
    <w:rsid w:val="009717C5"/>
    <w:rsid w:val="00971F81"/>
    <w:rsid w:val="009721FB"/>
    <w:rsid w:val="009722E9"/>
    <w:rsid w:val="0097256B"/>
    <w:rsid w:val="00972619"/>
    <w:rsid w:val="009736B2"/>
    <w:rsid w:val="009776BF"/>
    <w:rsid w:val="0097798B"/>
    <w:rsid w:val="00977B7B"/>
    <w:rsid w:val="009815D0"/>
    <w:rsid w:val="0098164D"/>
    <w:rsid w:val="009844DC"/>
    <w:rsid w:val="00984D85"/>
    <w:rsid w:val="00984EB4"/>
    <w:rsid w:val="009855C5"/>
    <w:rsid w:val="00986E99"/>
    <w:rsid w:val="00987FF2"/>
    <w:rsid w:val="00990DA7"/>
    <w:rsid w:val="00992598"/>
    <w:rsid w:val="00992644"/>
    <w:rsid w:val="0099293A"/>
    <w:rsid w:val="009948CB"/>
    <w:rsid w:val="009969F9"/>
    <w:rsid w:val="009A1585"/>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46A7"/>
    <w:rsid w:val="009B64D3"/>
    <w:rsid w:val="009B7F8B"/>
    <w:rsid w:val="009C0C88"/>
    <w:rsid w:val="009C1E30"/>
    <w:rsid w:val="009C2FD0"/>
    <w:rsid w:val="009C36F9"/>
    <w:rsid w:val="009C3F71"/>
    <w:rsid w:val="009C4AE1"/>
    <w:rsid w:val="009C64C6"/>
    <w:rsid w:val="009C6D36"/>
    <w:rsid w:val="009C7860"/>
    <w:rsid w:val="009C7E35"/>
    <w:rsid w:val="009D041E"/>
    <w:rsid w:val="009D1DCA"/>
    <w:rsid w:val="009D226F"/>
    <w:rsid w:val="009D3BF0"/>
    <w:rsid w:val="009D3C57"/>
    <w:rsid w:val="009D550D"/>
    <w:rsid w:val="009D6C81"/>
    <w:rsid w:val="009D72B6"/>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A8B"/>
    <w:rsid w:val="00A124CE"/>
    <w:rsid w:val="00A12730"/>
    <w:rsid w:val="00A130AC"/>
    <w:rsid w:val="00A13B79"/>
    <w:rsid w:val="00A16A1A"/>
    <w:rsid w:val="00A16B9E"/>
    <w:rsid w:val="00A16DFF"/>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77B2"/>
    <w:rsid w:val="00A30891"/>
    <w:rsid w:val="00A30D12"/>
    <w:rsid w:val="00A31AE8"/>
    <w:rsid w:val="00A3421D"/>
    <w:rsid w:val="00A344AF"/>
    <w:rsid w:val="00A35B6A"/>
    <w:rsid w:val="00A35C56"/>
    <w:rsid w:val="00A36927"/>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DD"/>
    <w:rsid w:val="00A52FEA"/>
    <w:rsid w:val="00A530EE"/>
    <w:rsid w:val="00A54623"/>
    <w:rsid w:val="00A54C3B"/>
    <w:rsid w:val="00A570B2"/>
    <w:rsid w:val="00A575EB"/>
    <w:rsid w:val="00A57C30"/>
    <w:rsid w:val="00A57CE2"/>
    <w:rsid w:val="00A60275"/>
    <w:rsid w:val="00A60FE1"/>
    <w:rsid w:val="00A6178D"/>
    <w:rsid w:val="00A63B36"/>
    <w:rsid w:val="00A64C76"/>
    <w:rsid w:val="00A65929"/>
    <w:rsid w:val="00A65ABF"/>
    <w:rsid w:val="00A66966"/>
    <w:rsid w:val="00A672CF"/>
    <w:rsid w:val="00A675E3"/>
    <w:rsid w:val="00A72145"/>
    <w:rsid w:val="00A729ED"/>
    <w:rsid w:val="00A72C66"/>
    <w:rsid w:val="00A73315"/>
    <w:rsid w:val="00A73AB8"/>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326"/>
    <w:rsid w:val="00AA7570"/>
    <w:rsid w:val="00AA7CBD"/>
    <w:rsid w:val="00AB0C8D"/>
    <w:rsid w:val="00AB121F"/>
    <w:rsid w:val="00AB2FFD"/>
    <w:rsid w:val="00AB305B"/>
    <w:rsid w:val="00AB4BC7"/>
    <w:rsid w:val="00AB597F"/>
    <w:rsid w:val="00AB657B"/>
    <w:rsid w:val="00AB6F1F"/>
    <w:rsid w:val="00AB6FA8"/>
    <w:rsid w:val="00AB7176"/>
    <w:rsid w:val="00AB7DB3"/>
    <w:rsid w:val="00AC03FC"/>
    <w:rsid w:val="00AC081D"/>
    <w:rsid w:val="00AC0A28"/>
    <w:rsid w:val="00AC332C"/>
    <w:rsid w:val="00AC40DA"/>
    <w:rsid w:val="00AC4DF6"/>
    <w:rsid w:val="00AC5251"/>
    <w:rsid w:val="00AC52E2"/>
    <w:rsid w:val="00AC5399"/>
    <w:rsid w:val="00AC5B2B"/>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8D3"/>
    <w:rsid w:val="00AD7236"/>
    <w:rsid w:val="00AD72BC"/>
    <w:rsid w:val="00AD7E7D"/>
    <w:rsid w:val="00AE1136"/>
    <w:rsid w:val="00AE2A36"/>
    <w:rsid w:val="00AE2D5C"/>
    <w:rsid w:val="00AE325F"/>
    <w:rsid w:val="00AE443B"/>
    <w:rsid w:val="00AE4667"/>
    <w:rsid w:val="00AE46DF"/>
    <w:rsid w:val="00AE4A30"/>
    <w:rsid w:val="00AE4B88"/>
    <w:rsid w:val="00AE5117"/>
    <w:rsid w:val="00AE5462"/>
    <w:rsid w:val="00AE5A09"/>
    <w:rsid w:val="00AE5A0F"/>
    <w:rsid w:val="00AE5AEF"/>
    <w:rsid w:val="00AE6593"/>
    <w:rsid w:val="00AE7095"/>
    <w:rsid w:val="00AE737A"/>
    <w:rsid w:val="00AE7C00"/>
    <w:rsid w:val="00AF288C"/>
    <w:rsid w:val="00AF5CF4"/>
    <w:rsid w:val="00AF632F"/>
    <w:rsid w:val="00AF634F"/>
    <w:rsid w:val="00AF6771"/>
    <w:rsid w:val="00AF6B72"/>
    <w:rsid w:val="00AF7430"/>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2AEA"/>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1E6C"/>
    <w:rsid w:val="00B42C26"/>
    <w:rsid w:val="00B43093"/>
    <w:rsid w:val="00B43CE6"/>
    <w:rsid w:val="00B45692"/>
    <w:rsid w:val="00B45870"/>
    <w:rsid w:val="00B4588C"/>
    <w:rsid w:val="00B45FF0"/>
    <w:rsid w:val="00B4682D"/>
    <w:rsid w:val="00B50B69"/>
    <w:rsid w:val="00B513C3"/>
    <w:rsid w:val="00B51ACE"/>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5928"/>
    <w:rsid w:val="00B763B8"/>
    <w:rsid w:val="00B76BAF"/>
    <w:rsid w:val="00B778DA"/>
    <w:rsid w:val="00B804A2"/>
    <w:rsid w:val="00B80C41"/>
    <w:rsid w:val="00B8251C"/>
    <w:rsid w:val="00B82FD4"/>
    <w:rsid w:val="00B84473"/>
    <w:rsid w:val="00B844B2"/>
    <w:rsid w:val="00B846DC"/>
    <w:rsid w:val="00B84C43"/>
    <w:rsid w:val="00B85D72"/>
    <w:rsid w:val="00B862A3"/>
    <w:rsid w:val="00B86789"/>
    <w:rsid w:val="00B87409"/>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48DE"/>
    <w:rsid w:val="00BB4DD7"/>
    <w:rsid w:val="00BB56D0"/>
    <w:rsid w:val="00BB5FEE"/>
    <w:rsid w:val="00BB6211"/>
    <w:rsid w:val="00BB70B0"/>
    <w:rsid w:val="00BB76E8"/>
    <w:rsid w:val="00BB7732"/>
    <w:rsid w:val="00BC0093"/>
    <w:rsid w:val="00BC01C4"/>
    <w:rsid w:val="00BC02BA"/>
    <w:rsid w:val="00BC06B5"/>
    <w:rsid w:val="00BC0704"/>
    <w:rsid w:val="00BC08E6"/>
    <w:rsid w:val="00BC2744"/>
    <w:rsid w:val="00BC35A7"/>
    <w:rsid w:val="00BC3DC1"/>
    <w:rsid w:val="00BC46CB"/>
    <w:rsid w:val="00BC5D3F"/>
    <w:rsid w:val="00BC6C07"/>
    <w:rsid w:val="00BC6DAD"/>
    <w:rsid w:val="00BC72C9"/>
    <w:rsid w:val="00BC7C82"/>
    <w:rsid w:val="00BC7D76"/>
    <w:rsid w:val="00BC7FE9"/>
    <w:rsid w:val="00BD085C"/>
    <w:rsid w:val="00BD08F0"/>
    <w:rsid w:val="00BD0ECF"/>
    <w:rsid w:val="00BD1C19"/>
    <w:rsid w:val="00BD233A"/>
    <w:rsid w:val="00BD2CD8"/>
    <w:rsid w:val="00BD2E1A"/>
    <w:rsid w:val="00BD391F"/>
    <w:rsid w:val="00BD3DE1"/>
    <w:rsid w:val="00BD4977"/>
    <w:rsid w:val="00BD56E7"/>
    <w:rsid w:val="00BD76DC"/>
    <w:rsid w:val="00BD7F66"/>
    <w:rsid w:val="00BE0AC5"/>
    <w:rsid w:val="00BE15A1"/>
    <w:rsid w:val="00BE2A80"/>
    <w:rsid w:val="00BE432F"/>
    <w:rsid w:val="00BE4E48"/>
    <w:rsid w:val="00BE561A"/>
    <w:rsid w:val="00BE57A9"/>
    <w:rsid w:val="00BE5CEF"/>
    <w:rsid w:val="00BE6E1D"/>
    <w:rsid w:val="00BE7CBC"/>
    <w:rsid w:val="00BF02A5"/>
    <w:rsid w:val="00BF05C2"/>
    <w:rsid w:val="00BF090C"/>
    <w:rsid w:val="00BF0B24"/>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07617"/>
    <w:rsid w:val="00C10E0B"/>
    <w:rsid w:val="00C12241"/>
    <w:rsid w:val="00C1228A"/>
    <w:rsid w:val="00C126DF"/>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0D16"/>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097"/>
    <w:rsid w:val="00C728F5"/>
    <w:rsid w:val="00C72AE6"/>
    <w:rsid w:val="00C72D47"/>
    <w:rsid w:val="00C74C76"/>
    <w:rsid w:val="00C75511"/>
    <w:rsid w:val="00C75A50"/>
    <w:rsid w:val="00C76AD0"/>
    <w:rsid w:val="00C76D19"/>
    <w:rsid w:val="00C77562"/>
    <w:rsid w:val="00C775F2"/>
    <w:rsid w:val="00C77B56"/>
    <w:rsid w:val="00C77F0F"/>
    <w:rsid w:val="00C8026E"/>
    <w:rsid w:val="00C802B8"/>
    <w:rsid w:val="00C802CE"/>
    <w:rsid w:val="00C80FAF"/>
    <w:rsid w:val="00C818B1"/>
    <w:rsid w:val="00C82003"/>
    <w:rsid w:val="00C82257"/>
    <w:rsid w:val="00C822FD"/>
    <w:rsid w:val="00C82E39"/>
    <w:rsid w:val="00C8343E"/>
    <w:rsid w:val="00C83AB7"/>
    <w:rsid w:val="00C83B9F"/>
    <w:rsid w:val="00C84DD7"/>
    <w:rsid w:val="00C85A45"/>
    <w:rsid w:val="00C8606E"/>
    <w:rsid w:val="00C86BDA"/>
    <w:rsid w:val="00C8782C"/>
    <w:rsid w:val="00C87D18"/>
    <w:rsid w:val="00C9004C"/>
    <w:rsid w:val="00C904B6"/>
    <w:rsid w:val="00C91372"/>
    <w:rsid w:val="00C9169F"/>
    <w:rsid w:val="00C91898"/>
    <w:rsid w:val="00C91F31"/>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417A"/>
    <w:rsid w:val="00CA4F33"/>
    <w:rsid w:val="00CA6598"/>
    <w:rsid w:val="00CA725E"/>
    <w:rsid w:val="00CA729D"/>
    <w:rsid w:val="00CA7DB0"/>
    <w:rsid w:val="00CB1A1B"/>
    <w:rsid w:val="00CB2BDE"/>
    <w:rsid w:val="00CB326F"/>
    <w:rsid w:val="00CB3353"/>
    <w:rsid w:val="00CB339F"/>
    <w:rsid w:val="00CB33AE"/>
    <w:rsid w:val="00CB380F"/>
    <w:rsid w:val="00CB3C55"/>
    <w:rsid w:val="00CB3F54"/>
    <w:rsid w:val="00CB40A2"/>
    <w:rsid w:val="00CB4C73"/>
    <w:rsid w:val="00CC0DFF"/>
    <w:rsid w:val="00CC2931"/>
    <w:rsid w:val="00CC37C7"/>
    <w:rsid w:val="00CC3871"/>
    <w:rsid w:val="00CC4726"/>
    <w:rsid w:val="00CC56D3"/>
    <w:rsid w:val="00CC6225"/>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25F4"/>
    <w:rsid w:val="00D82CED"/>
    <w:rsid w:val="00D83C94"/>
    <w:rsid w:val="00D83F6E"/>
    <w:rsid w:val="00D84886"/>
    <w:rsid w:val="00D84DCD"/>
    <w:rsid w:val="00D854CC"/>
    <w:rsid w:val="00D85894"/>
    <w:rsid w:val="00D86454"/>
    <w:rsid w:val="00D865BE"/>
    <w:rsid w:val="00D8721F"/>
    <w:rsid w:val="00D900CE"/>
    <w:rsid w:val="00D9083D"/>
    <w:rsid w:val="00D91704"/>
    <w:rsid w:val="00D92544"/>
    <w:rsid w:val="00D92676"/>
    <w:rsid w:val="00D927CE"/>
    <w:rsid w:val="00D92DA3"/>
    <w:rsid w:val="00D93D14"/>
    <w:rsid w:val="00D9531E"/>
    <w:rsid w:val="00D95C76"/>
    <w:rsid w:val="00D95F6E"/>
    <w:rsid w:val="00D95FAB"/>
    <w:rsid w:val="00D96215"/>
    <w:rsid w:val="00D969CB"/>
    <w:rsid w:val="00D97442"/>
    <w:rsid w:val="00DA0097"/>
    <w:rsid w:val="00DA19D4"/>
    <w:rsid w:val="00DA1ACA"/>
    <w:rsid w:val="00DA4D58"/>
    <w:rsid w:val="00DA59F1"/>
    <w:rsid w:val="00DA620E"/>
    <w:rsid w:val="00DA6322"/>
    <w:rsid w:val="00DA698F"/>
    <w:rsid w:val="00DA6AF0"/>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AFA"/>
    <w:rsid w:val="00E13F64"/>
    <w:rsid w:val="00E1416E"/>
    <w:rsid w:val="00E141ED"/>
    <w:rsid w:val="00E14420"/>
    <w:rsid w:val="00E15130"/>
    <w:rsid w:val="00E160A8"/>
    <w:rsid w:val="00E16236"/>
    <w:rsid w:val="00E16F2F"/>
    <w:rsid w:val="00E17F43"/>
    <w:rsid w:val="00E213D9"/>
    <w:rsid w:val="00E2211F"/>
    <w:rsid w:val="00E2280B"/>
    <w:rsid w:val="00E234D3"/>
    <w:rsid w:val="00E23953"/>
    <w:rsid w:val="00E242C6"/>
    <w:rsid w:val="00E24E64"/>
    <w:rsid w:val="00E25670"/>
    <w:rsid w:val="00E25E09"/>
    <w:rsid w:val="00E268C4"/>
    <w:rsid w:val="00E271A1"/>
    <w:rsid w:val="00E27BCF"/>
    <w:rsid w:val="00E3137B"/>
    <w:rsid w:val="00E33094"/>
    <w:rsid w:val="00E332D7"/>
    <w:rsid w:val="00E34BF4"/>
    <w:rsid w:val="00E3507A"/>
    <w:rsid w:val="00E354E5"/>
    <w:rsid w:val="00E36471"/>
    <w:rsid w:val="00E3766C"/>
    <w:rsid w:val="00E37E81"/>
    <w:rsid w:val="00E41401"/>
    <w:rsid w:val="00E41F39"/>
    <w:rsid w:val="00E42A3D"/>
    <w:rsid w:val="00E42CC1"/>
    <w:rsid w:val="00E42DCD"/>
    <w:rsid w:val="00E44309"/>
    <w:rsid w:val="00E447CD"/>
    <w:rsid w:val="00E448DC"/>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4050"/>
    <w:rsid w:val="00E653A3"/>
    <w:rsid w:val="00E65897"/>
    <w:rsid w:val="00E66A98"/>
    <w:rsid w:val="00E70011"/>
    <w:rsid w:val="00E7105B"/>
    <w:rsid w:val="00E715E1"/>
    <w:rsid w:val="00E71E45"/>
    <w:rsid w:val="00E7331A"/>
    <w:rsid w:val="00E737F5"/>
    <w:rsid w:val="00E73C48"/>
    <w:rsid w:val="00E75660"/>
    <w:rsid w:val="00E76328"/>
    <w:rsid w:val="00E76E20"/>
    <w:rsid w:val="00E77879"/>
    <w:rsid w:val="00E77E9D"/>
    <w:rsid w:val="00E80C11"/>
    <w:rsid w:val="00E80E14"/>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6BE0"/>
    <w:rsid w:val="00EB74FB"/>
    <w:rsid w:val="00EB7FAE"/>
    <w:rsid w:val="00EB7FF6"/>
    <w:rsid w:val="00EC0224"/>
    <w:rsid w:val="00EC062C"/>
    <w:rsid w:val="00EC15DA"/>
    <w:rsid w:val="00EC3DE5"/>
    <w:rsid w:val="00EC4BA6"/>
    <w:rsid w:val="00EC4C81"/>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5B"/>
    <w:rsid w:val="00EF6193"/>
    <w:rsid w:val="00EF67FF"/>
    <w:rsid w:val="00EF69E5"/>
    <w:rsid w:val="00EF7886"/>
    <w:rsid w:val="00EF7B11"/>
    <w:rsid w:val="00F00065"/>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21C2D"/>
    <w:rsid w:val="00F226C3"/>
    <w:rsid w:val="00F2503B"/>
    <w:rsid w:val="00F25905"/>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2271"/>
    <w:rsid w:val="00F822E6"/>
    <w:rsid w:val="00F822F3"/>
    <w:rsid w:val="00F82882"/>
    <w:rsid w:val="00F8449C"/>
    <w:rsid w:val="00F8458A"/>
    <w:rsid w:val="00F84EE6"/>
    <w:rsid w:val="00F8532C"/>
    <w:rsid w:val="00F867F6"/>
    <w:rsid w:val="00F912EE"/>
    <w:rsid w:val="00F92171"/>
    <w:rsid w:val="00F924DC"/>
    <w:rsid w:val="00F92782"/>
    <w:rsid w:val="00F92E72"/>
    <w:rsid w:val="00F934D4"/>
    <w:rsid w:val="00F93996"/>
    <w:rsid w:val="00F93E5F"/>
    <w:rsid w:val="00F94070"/>
    <w:rsid w:val="00F94115"/>
    <w:rsid w:val="00F94858"/>
    <w:rsid w:val="00F948E9"/>
    <w:rsid w:val="00F94BA9"/>
    <w:rsid w:val="00F95A6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3AA"/>
    <w:rsid w:val="00FA7445"/>
    <w:rsid w:val="00FA7D48"/>
    <w:rsid w:val="00FA7E5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3E6C38"/>
    <w:rsid w:val="01487061"/>
    <w:rsid w:val="01554F30"/>
    <w:rsid w:val="016F4FC1"/>
    <w:rsid w:val="01A54C4A"/>
    <w:rsid w:val="01AC112A"/>
    <w:rsid w:val="01B97337"/>
    <w:rsid w:val="01D603EC"/>
    <w:rsid w:val="01DE0860"/>
    <w:rsid w:val="01E8623D"/>
    <w:rsid w:val="01EC6109"/>
    <w:rsid w:val="01F13B79"/>
    <w:rsid w:val="01F366E2"/>
    <w:rsid w:val="020247C2"/>
    <w:rsid w:val="02073595"/>
    <w:rsid w:val="020C62E0"/>
    <w:rsid w:val="020E1BC1"/>
    <w:rsid w:val="02145C6B"/>
    <w:rsid w:val="02173ED1"/>
    <w:rsid w:val="023536CE"/>
    <w:rsid w:val="024D6952"/>
    <w:rsid w:val="024F4DF5"/>
    <w:rsid w:val="02547DC9"/>
    <w:rsid w:val="027254A7"/>
    <w:rsid w:val="0275302E"/>
    <w:rsid w:val="027D6E7A"/>
    <w:rsid w:val="02814C41"/>
    <w:rsid w:val="028B6D2C"/>
    <w:rsid w:val="02A0612A"/>
    <w:rsid w:val="02B225BF"/>
    <w:rsid w:val="02B463FC"/>
    <w:rsid w:val="02BA0CA9"/>
    <w:rsid w:val="02C15D5B"/>
    <w:rsid w:val="02D37BF4"/>
    <w:rsid w:val="02E01EAF"/>
    <w:rsid w:val="02E14102"/>
    <w:rsid w:val="02EC41ED"/>
    <w:rsid w:val="02F34544"/>
    <w:rsid w:val="02FD46D2"/>
    <w:rsid w:val="030F094B"/>
    <w:rsid w:val="0316362D"/>
    <w:rsid w:val="03172925"/>
    <w:rsid w:val="03200FFB"/>
    <w:rsid w:val="032F123B"/>
    <w:rsid w:val="03302524"/>
    <w:rsid w:val="03385CAF"/>
    <w:rsid w:val="0339603E"/>
    <w:rsid w:val="033C4A4A"/>
    <w:rsid w:val="035D4793"/>
    <w:rsid w:val="03600D99"/>
    <w:rsid w:val="03896BE3"/>
    <w:rsid w:val="038A155B"/>
    <w:rsid w:val="038C6C02"/>
    <w:rsid w:val="03937288"/>
    <w:rsid w:val="039F77EB"/>
    <w:rsid w:val="03A87676"/>
    <w:rsid w:val="03C04BD9"/>
    <w:rsid w:val="03C57294"/>
    <w:rsid w:val="03C76179"/>
    <w:rsid w:val="03CA212E"/>
    <w:rsid w:val="03D31921"/>
    <w:rsid w:val="03D530A9"/>
    <w:rsid w:val="03E733A5"/>
    <w:rsid w:val="03E9547A"/>
    <w:rsid w:val="03ED537C"/>
    <w:rsid w:val="03EE075D"/>
    <w:rsid w:val="03EF4EC7"/>
    <w:rsid w:val="03F23241"/>
    <w:rsid w:val="0405452F"/>
    <w:rsid w:val="04082DC4"/>
    <w:rsid w:val="04253D57"/>
    <w:rsid w:val="042553E0"/>
    <w:rsid w:val="042F421F"/>
    <w:rsid w:val="043978B9"/>
    <w:rsid w:val="04430C79"/>
    <w:rsid w:val="046105BC"/>
    <w:rsid w:val="046F1103"/>
    <w:rsid w:val="0475505E"/>
    <w:rsid w:val="047E135B"/>
    <w:rsid w:val="04801B4C"/>
    <w:rsid w:val="0484161E"/>
    <w:rsid w:val="04882F89"/>
    <w:rsid w:val="04A1708A"/>
    <w:rsid w:val="04AB2250"/>
    <w:rsid w:val="04AF1EBD"/>
    <w:rsid w:val="04B54FB1"/>
    <w:rsid w:val="04BA0D40"/>
    <w:rsid w:val="04BC0F1C"/>
    <w:rsid w:val="04C73569"/>
    <w:rsid w:val="04D178E1"/>
    <w:rsid w:val="04D4657D"/>
    <w:rsid w:val="04D70154"/>
    <w:rsid w:val="04F014D6"/>
    <w:rsid w:val="0503715D"/>
    <w:rsid w:val="050C6E16"/>
    <w:rsid w:val="0510535A"/>
    <w:rsid w:val="05131767"/>
    <w:rsid w:val="051E3152"/>
    <w:rsid w:val="05200BBC"/>
    <w:rsid w:val="052D49BD"/>
    <w:rsid w:val="052D51FB"/>
    <w:rsid w:val="055315AE"/>
    <w:rsid w:val="055643AB"/>
    <w:rsid w:val="055A1407"/>
    <w:rsid w:val="055E4FDC"/>
    <w:rsid w:val="057427D2"/>
    <w:rsid w:val="057505F6"/>
    <w:rsid w:val="05765B11"/>
    <w:rsid w:val="058457DB"/>
    <w:rsid w:val="058F6365"/>
    <w:rsid w:val="05A27566"/>
    <w:rsid w:val="05AF668B"/>
    <w:rsid w:val="05B26CD9"/>
    <w:rsid w:val="05B62614"/>
    <w:rsid w:val="05CE200C"/>
    <w:rsid w:val="05D55095"/>
    <w:rsid w:val="05E16518"/>
    <w:rsid w:val="05ED1982"/>
    <w:rsid w:val="05F332D1"/>
    <w:rsid w:val="05FC1320"/>
    <w:rsid w:val="06073F00"/>
    <w:rsid w:val="0612480A"/>
    <w:rsid w:val="061A3190"/>
    <w:rsid w:val="061D7998"/>
    <w:rsid w:val="062B2D2F"/>
    <w:rsid w:val="06356FCC"/>
    <w:rsid w:val="063767E5"/>
    <w:rsid w:val="06422A60"/>
    <w:rsid w:val="06450F0B"/>
    <w:rsid w:val="06494D3A"/>
    <w:rsid w:val="06617725"/>
    <w:rsid w:val="066F1FA1"/>
    <w:rsid w:val="06733BD7"/>
    <w:rsid w:val="06737183"/>
    <w:rsid w:val="06882FD5"/>
    <w:rsid w:val="06891027"/>
    <w:rsid w:val="068E7498"/>
    <w:rsid w:val="06917669"/>
    <w:rsid w:val="06956331"/>
    <w:rsid w:val="06A40790"/>
    <w:rsid w:val="06A41EC6"/>
    <w:rsid w:val="06A722D5"/>
    <w:rsid w:val="06AA5D30"/>
    <w:rsid w:val="06B6665D"/>
    <w:rsid w:val="06BC1B5E"/>
    <w:rsid w:val="06C745AE"/>
    <w:rsid w:val="06CB4C1B"/>
    <w:rsid w:val="06CD75F0"/>
    <w:rsid w:val="06E3747E"/>
    <w:rsid w:val="06EA35B4"/>
    <w:rsid w:val="06EC450B"/>
    <w:rsid w:val="06EF0CCF"/>
    <w:rsid w:val="07004F33"/>
    <w:rsid w:val="07020A33"/>
    <w:rsid w:val="070C0407"/>
    <w:rsid w:val="07113376"/>
    <w:rsid w:val="071D7E60"/>
    <w:rsid w:val="072A62B1"/>
    <w:rsid w:val="07331EBC"/>
    <w:rsid w:val="073D1BFD"/>
    <w:rsid w:val="0751783E"/>
    <w:rsid w:val="075F06A5"/>
    <w:rsid w:val="077052A6"/>
    <w:rsid w:val="0772560E"/>
    <w:rsid w:val="077C3F74"/>
    <w:rsid w:val="07871169"/>
    <w:rsid w:val="079A0126"/>
    <w:rsid w:val="079A65C3"/>
    <w:rsid w:val="07AF7A77"/>
    <w:rsid w:val="07B07D2A"/>
    <w:rsid w:val="07B973B9"/>
    <w:rsid w:val="07BB464E"/>
    <w:rsid w:val="07BC033E"/>
    <w:rsid w:val="07D806ED"/>
    <w:rsid w:val="07DC6674"/>
    <w:rsid w:val="07E02DDC"/>
    <w:rsid w:val="07E04FEB"/>
    <w:rsid w:val="07FA7BB8"/>
    <w:rsid w:val="07FE38F4"/>
    <w:rsid w:val="08033A2A"/>
    <w:rsid w:val="080877E7"/>
    <w:rsid w:val="080F1F6F"/>
    <w:rsid w:val="081F71EC"/>
    <w:rsid w:val="082B1545"/>
    <w:rsid w:val="082B1C77"/>
    <w:rsid w:val="082D41F6"/>
    <w:rsid w:val="08313403"/>
    <w:rsid w:val="083F1A62"/>
    <w:rsid w:val="084A2ED9"/>
    <w:rsid w:val="08523ED5"/>
    <w:rsid w:val="085A3DB5"/>
    <w:rsid w:val="085A5BD9"/>
    <w:rsid w:val="085F0398"/>
    <w:rsid w:val="086D0EAC"/>
    <w:rsid w:val="086E05E0"/>
    <w:rsid w:val="087245E9"/>
    <w:rsid w:val="08752D90"/>
    <w:rsid w:val="088A4E57"/>
    <w:rsid w:val="08936E64"/>
    <w:rsid w:val="08A05F2E"/>
    <w:rsid w:val="08A649BC"/>
    <w:rsid w:val="08B67B58"/>
    <w:rsid w:val="08BE7186"/>
    <w:rsid w:val="08C7372B"/>
    <w:rsid w:val="08D51E2B"/>
    <w:rsid w:val="08D6479E"/>
    <w:rsid w:val="08D82191"/>
    <w:rsid w:val="08E4276C"/>
    <w:rsid w:val="08F336C0"/>
    <w:rsid w:val="0925415E"/>
    <w:rsid w:val="092A1350"/>
    <w:rsid w:val="093532AA"/>
    <w:rsid w:val="0944559F"/>
    <w:rsid w:val="096C0848"/>
    <w:rsid w:val="096F1248"/>
    <w:rsid w:val="09744D26"/>
    <w:rsid w:val="09831DBB"/>
    <w:rsid w:val="098D4727"/>
    <w:rsid w:val="09932E30"/>
    <w:rsid w:val="09A544F4"/>
    <w:rsid w:val="09B10C4E"/>
    <w:rsid w:val="09C97F48"/>
    <w:rsid w:val="09CE3118"/>
    <w:rsid w:val="09CE4C78"/>
    <w:rsid w:val="09CF2866"/>
    <w:rsid w:val="09D95025"/>
    <w:rsid w:val="09F9316B"/>
    <w:rsid w:val="09FF0460"/>
    <w:rsid w:val="0A042245"/>
    <w:rsid w:val="0A056F7E"/>
    <w:rsid w:val="0A076934"/>
    <w:rsid w:val="0A2552B4"/>
    <w:rsid w:val="0A27690F"/>
    <w:rsid w:val="0A3A60C2"/>
    <w:rsid w:val="0A435475"/>
    <w:rsid w:val="0A4A2200"/>
    <w:rsid w:val="0A4F60F9"/>
    <w:rsid w:val="0A510BB3"/>
    <w:rsid w:val="0A5244A4"/>
    <w:rsid w:val="0A60364C"/>
    <w:rsid w:val="0A6A59BF"/>
    <w:rsid w:val="0A725035"/>
    <w:rsid w:val="0A78798F"/>
    <w:rsid w:val="0A9A6646"/>
    <w:rsid w:val="0AA44693"/>
    <w:rsid w:val="0AA67508"/>
    <w:rsid w:val="0AAA68C8"/>
    <w:rsid w:val="0AB35CDC"/>
    <w:rsid w:val="0AC96EAF"/>
    <w:rsid w:val="0ACD1F1B"/>
    <w:rsid w:val="0ADE08AE"/>
    <w:rsid w:val="0ADF4800"/>
    <w:rsid w:val="0AE514AE"/>
    <w:rsid w:val="0AEC70EC"/>
    <w:rsid w:val="0AFD1714"/>
    <w:rsid w:val="0B0D2EDE"/>
    <w:rsid w:val="0B2D6A9C"/>
    <w:rsid w:val="0B4276ED"/>
    <w:rsid w:val="0B432D81"/>
    <w:rsid w:val="0B5337A7"/>
    <w:rsid w:val="0B576D17"/>
    <w:rsid w:val="0B5D3933"/>
    <w:rsid w:val="0B6771C8"/>
    <w:rsid w:val="0B6C1670"/>
    <w:rsid w:val="0B6D3A62"/>
    <w:rsid w:val="0B7D4F28"/>
    <w:rsid w:val="0B7D6611"/>
    <w:rsid w:val="0B7E53D1"/>
    <w:rsid w:val="0B826A1D"/>
    <w:rsid w:val="0B902B54"/>
    <w:rsid w:val="0B973E91"/>
    <w:rsid w:val="0B9A68A9"/>
    <w:rsid w:val="0BCD4A89"/>
    <w:rsid w:val="0BD726FC"/>
    <w:rsid w:val="0BDF0253"/>
    <w:rsid w:val="0BE228B4"/>
    <w:rsid w:val="0BF525F2"/>
    <w:rsid w:val="0BF85169"/>
    <w:rsid w:val="0C08267B"/>
    <w:rsid w:val="0C0A4137"/>
    <w:rsid w:val="0C0E622F"/>
    <w:rsid w:val="0C26247C"/>
    <w:rsid w:val="0C33789A"/>
    <w:rsid w:val="0C351C78"/>
    <w:rsid w:val="0C36209A"/>
    <w:rsid w:val="0C3F58DD"/>
    <w:rsid w:val="0C4213A6"/>
    <w:rsid w:val="0C4B0FAD"/>
    <w:rsid w:val="0C513AF7"/>
    <w:rsid w:val="0C531EB7"/>
    <w:rsid w:val="0C5922D3"/>
    <w:rsid w:val="0C5E4F4E"/>
    <w:rsid w:val="0C7F6ECF"/>
    <w:rsid w:val="0C862C39"/>
    <w:rsid w:val="0C865500"/>
    <w:rsid w:val="0C8E0AC3"/>
    <w:rsid w:val="0C9C697E"/>
    <w:rsid w:val="0CA66FCC"/>
    <w:rsid w:val="0CB23FAF"/>
    <w:rsid w:val="0CB965A2"/>
    <w:rsid w:val="0CC66F73"/>
    <w:rsid w:val="0CCE1990"/>
    <w:rsid w:val="0CCE276B"/>
    <w:rsid w:val="0CD6189D"/>
    <w:rsid w:val="0CD777C3"/>
    <w:rsid w:val="0CDA538B"/>
    <w:rsid w:val="0CDB47BA"/>
    <w:rsid w:val="0CEA7554"/>
    <w:rsid w:val="0CFC7410"/>
    <w:rsid w:val="0D0213E4"/>
    <w:rsid w:val="0D0B38F8"/>
    <w:rsid w:val="0D120832"/>
    <w:rsid w:val="0D232F82"/>
    <w:rsid w:val="0D46535B"/>
    <w:rsid w:val="0D583AF2"/>
    <w:rsid w:val="0D6A77F3"/>
    <w:rsid w:val="0D6D201E"/>
    <w:rsid w:val="0D776120"/>
    <w:rsid w:val="0D824F97"/>
    <w:rsid w:val="0D8607F3"/>
    <w:rsid w:val="0D90102E"/>
    <w:rsid w:val="0D9B43B7"/>
    <w:rsid w:val="0D9E6A95"/>
    <w:rsid w:val="0DA8496E"/>
    <w:rsid w:val="0DB26690"/>
    <w:rsid w:val="0DBC679B"/>
    <w:rsid w:val="0DD13DB2"/>
    <w:rsid w:val="0DD33606"/>
    <w:rsid w:val="0DEE01FB"/>
    <w:rsid w:val="0DF05CFA"/>
    <w:rsid w:val="0DF34951"/>
    <w:rsid w:val="0DFD16A9"/>
    <w:rsid w:val="0E002202"/>
    <w:rsid w:val="0E055897"/>
    <w:rsid w:val="0E240AFF"/>
    <w:rsid w:val="0E25652C"/>
    <w:rsid w:val="0E3D14A5"/>
    <w:rsid w:val="0E445501"/>
    <w:rsid w:val="0E4A4697"/>
    <w:rsid w:val="0E564874"/>
    <w:rsid w:val="0E5D0479"/>
    <w:rsid w:val="0E6072D0"/>
    <w:rsid w:val="0EA2309A"/>
    <w:rsid w:val="0EAB67ED"/>
    <w:rsid w:val="0EB9785E"/>
    <w:rsid w:val="0EC9736F"/>
    <w:rsid w:val="0ECF415A"/>
    <w:rsid w:val="0ED272EC"/>
    <w:rsid w:val="0ED63945"/>
    <w:rsid w:val="0EE0648A"/>
    <w:rsid w:val="0EE50F99"/>
    <w:rsid w:val="0EE908C8"/>
    <w:rsid w:val="0EFA40A2"/>
    <w:rsid w:val="0F0E3698"/>
    <w:rsid w:val="0F161557"/>
    <w:rsid w:val="0F2A48AE"/>
    <w:rsid w:val="0F2B207A"/>
    <w:rsid w:val="0F2F44BC"/>
    <w:rsid w:val="0F3D2411"/>
    <w:rsid w:val="0F4376B1"/>
    <w:rsid w:val="0F4D2458"/>
    <w:rsid w:val="0F595EAE"/>
    <w:rsid w:val="0F600425"/>
    <w:rsid w:val="0F692C9D"/>
    <w:rsid w:val="0F6A673F"/>
    <w:rsid w:val="0F6F1651"/>
    <w:rsid w:val="0F795717"/>
    <w:rsid w:val="0F7D3B79"/>
    <w:rsid w:val="0F863FBE"/>
    <w:rsid w:val="0F88760A"/>
    <w:rsid w:val="0F9126DA"/>
    <w:rsid w:val="0FA421EB"/>
    <w:rsid w:val="0FAB0691"/>
    <w:rsid w:val="0FAB5F34"/>
    <w:rsid w:val="0FAE054D"/>
    <w:rsid w:val="0FB25767"/>
    <w:rsid w:val="0FB564EE"/>
    <w:rsid w:val="0FB75AE6"/>
    <w:rsid w:val="0FBC5D00"/>
    <w:rsid w:val="0FBF5AA2"/>
    <w:rsid w:val="0FE11CA7"/>
    <w:rsid w:val="0FF83B73"/>
    <w:rsid w:val="0FF9356D"/>
    <w:rsid w:val="0FFA00C0"/>
    <w:rsid w:val="1003543A"/>
    <w:rsid w:val="10114D8B"/>
    <w:rsid w:val="101C62D7"/>
    <w:rsid w:val="102B3F49"/>
    <w:rsid w:val="103477B8"/>
    <w:rsid w:val="10426A38"/>
    <w:rsid w:val="10477D40"/>
    <w:rsid w:val="104A76C8"/>
    <w:rsid w:val="106745D4"/>
    <w:rsid w:val="10711054"/>
    <w:rsid w:val="10770839"/>
    <w:rsid w:val="10894C2E"/>
    <w:rsid w:val="108B1EF7"/>
    <w:rsid w:val="10970C4F"/>
    <w:rsid w:val="10A42ABE"/>
    <w:rsid w:val="10A5493A"/>
    <w:rsid w:val="10AE4F80"/>
    <w:rsid w:val="10E74FC8"/>
    <w:rsid w:val="10F54B43"/>
    <w:rsid w:val="10FC1DA5"/>
    <w:rsid w:val="11096801"/>
    <w:rsid w:val="110E0720"/>
    <w:rsid w:val="111A40FA"/>
    <w:rsid w:val="11244732"/>
    <w:rsid w:val="11375C4D"/>
    <w:rsid w:val="116F1631"/>
    <w:rsid w:val="11806D20"/>
    <w:rsid w:val="118251BF"/>
    <w:rsid w:val="118B4010"/>
    <w:rsid w:val="119177A5"/>
    <w:rsid w:val="11A547ED"/>
    <w:rsid w:val="11B1712B"/>
    <w:rsid w:val="11B52F3C"/>
    <w:rsid w:val="11BA3E16"/>
    <w:rsid w:val="11C8454F"/>
    <w:rsid w:val="11CA6E77"/>
    <w:rsid w:val="11CE12A0"/>
    <w:rsid w:val="11E74E7B"/>
    <w:rsid w:val="11ED2B58"/>
    <w:rsid w:val="11EF79F9"/>
    <w:rsid w:val="11F00F3E"/>
    <w:rsid w:val="11F7739F"/>
    <w:rsid w:val="121D5759"/>
    <w:rsid w:val="12272F1E"/>
    <w:rsid w:val="12283478"/>
    <w:rsid w:val="122E5E1C"/>
    <w:rsid w:val="1240726A"/>
    <w:rsid w:val="1250374B"/>
    <w:rsid w:val="12663BEF"/>
    <w:rsid w:val="12696129"/>
    <w:rsid w:val="12826719"/>
    <w:rsid w:val="128B0EFC"/>
    <w:rsid w:val="128F7486"/>
    <w:rsid w:val="12903988"/>
    <w:rsid w:val="129A0548"/>
    <w:rsid w:val="12B13247"/>
    <w:rsid w:val="12BF4475"/>
    <w:rsid w:val="12C15D6C"/>
    <w:rsid w:val="12D04EE3"/>
    <w:rsid w:val="12D17E62"/>
    <w:rsid w:val="12F86FC2"/>
    <w:rsid w:val="13043E83"/>
    <w:rsid w:val="131A50A7"/>
    <w:rsid w:val="13286268"/>
    <w:rsid w:val="134A68E5"/>
    <w:rsid w:val="134F61E8"/>
    <w:rsid w:val="13642843"/>
    <w:rsid w:val="13662914"/>
    <w:rsid w:val="1368184C"/>
    <w:rsid w:val="1369774E"/>
    <w:rsid w:val="138A0124"/>
    <w:rsid w:val="139F72BD"/>
    <w:rsid w:val="13AB7DA3"/>
    <w:rsid w:val="13BD563C"/>
    <w:rsid w:val="13C253CE"/>
    <w:rsid w:val="13C90583"/>
    <w:rsid w:val="13CE48D7"/>
    <w:rsid w:val="13D35FBB"/>
    <w:rsid w:val="13D468F1"/>
    <w:rsid w:val="13FD2C02"/>
    <w:rsid w:val="14030A39"/>
    <w:rsid w:val="14250C9D"/>
    <w:rsid w:val="14262E9B"/>
    <w:rsid w:val="142A5125"/>
    <w:rsid w:val="142B717A"/>
    <w:rsid w:val="142C70DF"/>
    <w:rsid w:val="142D60AA"/>
    <w:rsid w:val="142E7388"/>
    <w:rsid w:val="14396909"/>
    <w:rsid w:val="144E65DE"/>
    <w:rsid w:val="146D09E3"/>
    <w:rsid w:val="14750EFC"/>
    <w:rsid w:val="148205E9"/>
    <w:rsid w:val="14BE4314"/>
    <w:rsid w:val="14C2786B"/>
    <w:rsid w:val="14D41A55"/>
    <w:rsid w:val="14E00C5D"/>
    <w:rsid w:val="14EC05A9"/>
    <w:rsid w:val="14FA66F7"/>
    <w:rsid w:val="1501349D"/>
    <w:rsid w:val="15182147"/>
    <w:rsid w:val="151945DE"/>
    <w:rsid w:val="15200B35"/>
    <w:rsid w:val="152A56A2"/>
    <w:rsid w:val="154A165A"/>
    <w:rsid w:val="154C11C4"/>
    <w:rsid w:val="15550C30"/>
    <w:rsid w:val="155847A1"/>
    <w:rsid w:val="155F3F01"/>
    <w:rsid w:val="15673E2D"/>
    <w:rsid w:val="156B4C0D"/>
    <w:rsid w:val="157F34E6"/>
    <w:rsid w:val="15894DC2"/>
    <w:rsid w:val="15A46A26"/>
    <w:rsid w:val="15A73F7D"/>
    <w:rsid w:val="15A843EA"/>
    <w:rsid w:val="15AA04D5"/>
    <w:rsid w:val="15AB570B"/>
    <w:rsid w:val="15B716F5"/>
    <w:rsid w:val="15C40F5C"/>
    <w:rsid w:val="15C54962"/>
    <w:rsid w:val="15C708FB"/>
    <w:rsid w:val="15CB054F"/>
    <w:rsid w:val="15CF410B"/>
    <w:rsid w:val="15DE6B73"/>
    <w:rsid w:val="15DF10B3"/>
    <w:rsid w:val="15EE662C"/>
    <w:rsid w:val="15F7487D"/>
    <w:rsid w:val="1603506B"/>
    <w:rsid w:val="16131B5F"/>
    <w:rsid w:val="161F1B19"/>
    <w:rsid w:val="161F7CB8"/>
    <w:rsid w:val="16232CE1"/>
    <w:rsid w:val="163860B9"/>
    <w:rsid w:val="16442193"/>
    <w:rsid w:val="164C2AFE"/>
    <w:rsid w:val="164F6905"/>
    <w:rsid w:val="1652655B"/>
    <w:rsid w:val="1659218C"/>
    <w:rsid w:val="166F7163"/>
    <w:rsid w:val="167935F7"/>
    <w:rsid w:val="16884C04"/>
    <w:rsid w:val="168D4BC2"/>
    <w:rsid w:val="16951CD1"/>
    <w:rsid w:val="1695487E"/>
    <w:rsid w:val="169871E5"/>
    <w:rsid w:val="169A5C05"/>
    <w:rsid w:val="169E262B"/>
    <w:rsid w:val="169F28B9"/>
    <w:rsid w:val="16A4651D"/>
    <w:rsid w:val="16E001B7"/>
    <w:rsid w:val="16E42A44"/>
    <w:rsid w:val="16F02390"/>
    <w:rsid w:val="16F861BD"/>
    <w:rsid w:val="17065B1C"/>
    <w:rsid w:val="171C599D"/>
    <w:rsid w:val="17205700"/>
    <w:rsid w:val="17305017"/>
    <w:rsid w:val="1733478E"/>
    <w:rsid w:val="173C3EB6"/>
    <w:rsid w:val="174C3574"/>
    <w:rsid w:val="174D5EC0"/>
    <w:rsid w:val="175E5C17"/>
    <w:rsid w:val="17624D63"/>
    <w:rsid w:val="176C44F8"/>
    <w:rsid w:val="178161A5"/>
    <w:rsid w:val="17990421"/>
    <w:rsid w:val="17992510"/>
    <w:rsid w:val="17B45250"/>
    <w:rsid w:val="17B650A2"/>
    <w:rsid w:val="17C14370"/>
    <w:rsid w:val="17C24058"/>
    <w:rsid w:val="17CE6743"/>
    <w:rsid w:val="17F65EF9"/>
    <w:rsid w:val="17F73AB7"/>
    <w:rsid w:val="17FF5AF7"/>
    <w:rsid w:val="1825592A"/>
    <w:rsid w:val="18274627"/>
    <w:rsid w:val="1830347E"/>
    <w:rsid w:val="18535F07"/>
    <w:rsid w:val="185C2243"/>
    <w:rsid w:val="185C34E9"/>
    <w:rsid w:val="186832E0"/>
    <w:rsid w:val="187641A0"/>
    <w:rsid w:val="187706D6"/>
    <w:rsid w:val="188533B0"/>
    <w:rsid w:val="189E3E57"/>
    <w:rsid w:val="18A63F3A"/>
    <w:rsid w:val="18B22208"/>
    <w:rsid w:val="18C14F2C"/>
    <w:rsid w:val="18CB4E8F"/>
    <w:rsid w:val="18D546CE"/>
    <w:rsid w:val="18D86806"/>
    <w:rsid w:val="18DC7FC1"/>
    <w:rsid w:val="18E73E45"/>
    <w:rsid w:val="18E807E6"/>
    <w:rsid w:val="18EA3203"/>
    <w:rsid w:val="191557BF"/>
    <w:rsid w:val="1923248C"/>
    <w:rsid w:val="1931631B"/>
    <w:rsid w:val="19492209"/>
    <w:rsid w:val="196226A3"/>
    <w:rsid w:val="19640835"/>
    <w:rsid w:val="19810678"/>
    <w:rsid w:val="198B0B26"/>
    <w:rsid w:val="19AB5274"/>
    <w:rsid w:val="19AC2C7D"/>
    <w:rsid w:val="19BA6275"/>
    <w:rsid w:val="19D133E7"/>
    <w:rsid w:val="19DF485C"/>
    <w:rsid w:val="19E117D3"/>
    <w:rsid w:val="19E1748E"/>
    <w:rsid w:val="19E3078A"/>
    <w:rsid w:val="19EB0CC8"/>
    <w:rsid w:val="19EE3E5B"/>
    <w:rsid w:val="19EF41EC"/>
    <w:rsid w:val="19F171FB"/>
    <w:rsid w:val="19F42E0E"/>
    <w:rsid w:val="19F811EF"/>
    <w:rsid w:val="1A0D608B"/>
    <w:rsid w:val="1A0F133A"/>
    <w:rsid w:val="1A21255E"/>
    <w:rsid w:val="1A3D47F5"/>
    <w:rsid w:val="1A3F6BC6"/>
    <w:rsid w:val="1A4C2EF4"/>
    <w:rsid w:val="1A5917A1"/>
    <w:rsid w:val="1A620538"/>
    <w:rsid w:val="1A6C61D4"/>
    <w:rsid w:val="1A846A18"/>
    <w:rsid w:val="1A8564A7"/>
    <w:rsid w:val="1A944361"/>
    <w:rsid w:val="1A96572E"/>
    <w:rsid w:val="1AA13ABF"/>
    <w:rsid w:val="1AAD6169"/>
    <w:rsid w:val="1AAF4A8F"/>
    <w:rsid w:val="1AFD3049"/>
    <w:rsid w:val="1AFE6E2E"/>
    <w:rsid w:val="1B090CF0"/>
    <w:rsid w:val="1B141D6F"/>
    <w:rsid w:val="1B176268"/>
    <w:rsid w:val="1B19747A"/>
    <w:rsid w:val="1B1C55CB"/>
    <w:rsid w:val="1B202913"/>
    <w:rsid w:val="1B283EF9"/>
    <w:rsid w:val="1B363FB3"/>
    <w:rsid w:val="1B4C2B71"/>
    <w:rsid w:val="1B765F83"/>
    <w:rsid w:val="1B84114D"/>
    <w:rsid w:val="1B8E6124"/>
    <w:rsid w:val="1BBC4915"/>
    <w:rsid w:val="1BCD527E"/>
    <w:rsid w:val="1BCF3A3F"/>
    <w:rsid w:val="1BE92B0F"/>
    <w:rsid w:val="1BEF04E6"/>
    <w:rsid w:val="1BF60A91"/>
    <w:rsid w:val="1BFD155A"/>
    <w:rsid w:val="1C0162E2"/>
    <w:rsid w:val="1C02130A"/>
    <w:rsid w:val="1C15236F"/>
    <w:rsid w:val="1C254C02"/>
    <w:rsid w:val="1C271C45"/>
    <w:rsid w:val="1C2A22C1"/>
    <w:rsid w:val="1C2B0D29"/>
    <w:rsid w:val="1C2F2C1A"/>
    <w:rsid w:val="1C383FCB"/>
    <w:rsid w:val="1C4448E1"/>
    <w:rsid w:val="1C4B67C1"/>
    <w:rsid w:val="1C6E1BE7"/>
    <w:rsid w:val="1C744819"/>
    <w:rsid w:val="1C7C1EC1"/>
    <w:rsid w:val="1C9A7B0E"/>
    <w:rsid w:val="1CB51001"/>
    <w:rsid w:val="1CB80C2C"/>
    <w:rsid w:val="1CDD6AFB"/>
    <w:rsid w:val="1CE419C9"/>
    <w:rsid w:val="1CE538B3"/>
    <w:rsid w:val="1CE97707"/>
    <w:rsid w:val="1CFB3FDC"/>
    <w:rsid w:val="1D04288A"/>
    <w:rsid w:val="1D0927DA"/>
    <w:rsid w:val="1D0F44FF"/>
    <w:rsid w:val="1D172703"/>
    <w:rsid w:val="1D181F4A"/>
    <w:rsid w:val="1D1C2581"/>
    <w:rsid w:val="1D1D5CDF"/>
    <w:rsid w:val="1D24531D"/>
    <w:rsid w:val="1D3B0759"/>
    <w:rsid w:val="1D3F4FAA"/>
    <w:rsid w:val="1D5C29BE"/>
    <w:rsid w:val="1D5F7705"/>
    <w:rsid w:val="1D6424EF"/>
    <w:rsid w:val="1D6D54D9"/>
    <w:rsid w:val="1D8F3FC5"/>
    <w:rsid w:val="1D9B73AD"/>
    <w:rsid w:val="1D9D610E"/>
    <w:rsid w:val="1DA97F2F"/>
    <w:rsid w:val="1DAF66D5"/>
    <w:rsid w:val="1DC25B05"/>
    <w:rsid w:val="1DD86B52"/>
    <w:rsid w:val="1DDA4EA1"/>
    <w:rsid w:val="1DDC4BDB"/>
    <w:rsid w:val="1DDD6AC7"/>
    <w:rsid w:val="1DE503B0"/>
    <w:rsid w:val="1DE906BE"/>
    <w:rsid w:val="1DF1449B"/>
    <w:rsid w:val="1E06537C"/>
    <w:rsid w:val="1E2A39B3"/>
    <w:rsid w:val="1E3959DE"/>
    <w:rsid w:val="1E3B3C28"/>
    <w:rsid w:val="1E3D4A45"/>
    <w:rsid w:val="1E45589A"/>
    <w:rsid w:val="1E551397"/>
    <w:rsid w:val="1E637965"/>
    <w:rsid w:val="1E6E02FD"/>
    <w:rsid w:val="1E723480"/>
    <w:rsid w:val="1E7948ED"/>
    <w:rsid w:val="1E821F83"/>
    <w:rsid w:val="1E96708E"/>
    <w:rsid w:val="1E9D37D3"/>
    <w:rsid w:val="1EAF7DBD"/>
    <w:rsid w:val="1ECD122C"/>
    <w:rsid w:val="1ED93A5D"/>
    <w:rsid w:val="1EE47228"/>
    <w:rsid w:val="1EFA7ACE"/>
    <w:rsid w:val="1EFB5963"/>
    <w:rsid w:val="1EFF4369"/>
    <w:rsid w:val="1F087909"/>
    <w:rsid w:val="1F135C75"/>
    <w:rsid w:val="1F155529"/>
    <w:rsid w:val="1F15650D"/>
    <w:rsid w:val="1F1F1590"/>
    <w:rsid w:val="1F3F26A4"/>
    <w:rsid w:val="1F444036"/>
    <w:rsid w:val="1F44705C"/>
    <w:rsid w:val="1F4E09F3"/>
    <w:rsid w:val="1F62080A"/>
    <w:rsid w:val="1F787893"/>
    <w:rsid w:val="1FA60712"/>
    <w:rsid w:val="1FA663EE"/>
    <w:rsid w:val="1FDB206D"/>
    <w:rsid w:val="1FDB6B3A"/>
    <w:rsid w:val="1FFB53B9"/>
    <w:rsid w:val="20022912"/>
    <w:rsid w:val="20041CC9"/>
    <w:rsid w:val="200E48BA"/>
    <w:rsid w:val="20151933"/>
    <w:rsid w:val="201828B7"/>
    <w:rsid w:val="20245B6C"/>
    <w:rsid w:val="203F4CE0"/>
    <w:rsid w:val="20553B36"/>
    <w:rsid w:val="207E58AA"/>
    <w:rsid w:val="20807569"/>
    <w:rsid w:val="208125E5"/>
    <w:rsid w:val="20827B08"/>
    <w:rsid w:val="209914D5"/>
    <w:rsid w:val="209E0592"/>
    <w:rsid w:val="209F6759"/>
    <w:rsid w:val="20A06B43"/>
    <w:rsid w:val="20AA4897"/>
    <w:rsid w:val="20AB0E9C"/>
    <w:rsid w:val="20AE0814"/>
    <w:rsid w:val="20D5703F"/>
    <w:rsid w:val="20E23A14"/>
    <w:rsid w:val="20E76408"/>
    <w:rsid w:val="20EC39E9"/>
    <w:rsid w:val="20F94395"/>
    <w:rsid w:val="20FB5AC3"/>
    <w:rsid w:val="210E372D"/>
    <w:rsid w:val="211E341E"/>
    <w:rsid w:val="21296F4B"/>
    <w:rsid w:val="212C635B"/>
    <w:rsid w:val="212D1E1D"/>
    <w:rsid w:val="21376D67"/>
    <w:rsid w:val="214120F8"/>
    <w:rsid w:val="214445A3"/>
    <w:rsid w:val="215E49C8"/>
    <w:rsid w:val="21661A3E"/>
    <w:rsid w:val="21696417"/>
    <w:rsid w:val="217649F2"/>
    <w:rsid w:val="21784A9A"/>
    <w:rsid w:val="217C6CC3"/>
    <w:rsid w:val="217F4811"/>
    <w:rsid w:val="21816606"/>
    <w:rsid w:val="219546B6"/>
    <w:rsid w:val="21991119"/>
    <w:rsid w:val="21AC364B"/>
    <w:rsid w:val="21B57D5A"/>
    <w:rsid w:val="21BC6EDB"/>
    <w:rsid w:val="21EE63C3"/>
    <w:rsid w:val="22007BA4"/>
    <w:rsid w:val="221064F7"/>
    <w:rsid w:val="22154AFA"/>
    <w:rsid w:val="22201264"/>
    <w:rsid w:val="2224003C"/>
    <w:rsid w:val="222D7F46"/>
    <w:rsid w:val="222E49B3"/>
    <w:rsid w:val="22330804"/>
    <w:rsid w:val="22380EA3"/>
    <w:rsid w:val="224475E4"/>
    <w:rsid w:val="224772C9"/>
    <w:rsid w:val="224C490A"/>
    <w:rsid w:val="22516416"/>
    <w:rsid w:val="22653ECD"/>
    <w:rsid w:val="22783AF0"/>
    <w:rsid w:val="228D179D"/>
    <w:rsid w:val="229D1F50"/>
    <w:rsid w:val="22B25D35"/>
    <w:rsid w:val="22B62E88"/>
    <w:rsid w:val="22C83FD2"/>
    <w:rsid w:val="22CC769A"/>
    <w:rsid w:val="22CD0827"/>
    <w:rsid w:val="22CD1ED6"/>
    <w:rsid w:val="22D0502F"/>
    <w:rsid w:val="22D231E4"/>
    <w:rsid w:val="22E0606B"/>
    <w:rsid w:val="22F366E6"/>
    <w:rsid w:val="22FC24CD"/>
    <w:rsid w:val="23011F7A"/>
    <w:rsid w:val="23045256"/>
    <w:rsid w:val="23073E84"/>
    <w:rsid w:val="230C5E57"/>
    <w:rsid w:val="231A5BE4"/>
    <w:rsid w:val="2320465D"/>
    <w:rsid w:val="232337B4"/>
    <w:rsid w:val="232D647A"/>
    <w:rsid w:val="232E5031"/>
    <w:rsid w:val="233911DB"/>
    <w:rsid w:val="23441953"/>
    <w:rsid w:val="23452030"/>
    <w:rsid w:val="235C7F9A"/>
    <w:rsid w:val="23687A12"/>
    <w:rsid w:val="236C7BED"/>
    <w:rsid w:val="236F1DCC"/>
    <w:rsid w:val="23750F1F"/>
    <w:rsid w:val="23890D38"/>
    <w:rsid w:val="23994977"/>
    <w:rsid w:val="23A41B70"/>
    <w:rsid w:val="23A853F2"/>
    <w:rsid w:val="23AB4C8F"/>
    <w:rsid w:val="23AD0171"/>
    <w:rsid w:val="23BE5B0E"/>
    <w:rsid w:val="23C02401"/>
    <w:rsid w:val="23C3492E"/>
    <w:rsid w:val="23CF0CB9"/>
    <w:rsid w:val="23E87FF0"/>
    <w:rsid w:val="23F044DC"/>
    <w:rsid w:val="23FD5277"/>
    <w:rsid w:val="241C6D11"/>
    <w:rsid w:val="241F5CCA"/>
    <w:rsid w:val="24324238"/>
    <w:rsid w:val="24325C8A"/>
    <w:rsid w:val="24534111"/>
    <w:rsid w:val="24683C38"/>
    <w:rsid w:val="24684FD5"/>
    <w:rsid w:val="246A4366"/>
    <w:rsid w:val="2476776C"/>
    <w:rsid w:val="24793117"/>
    <w:rsid w:val="248944EE"/>
    <w:rsid w:val="24897A95"/>
    <w:rsid w:val="24974F47"/>
    <w:rsid w:val="24C651F9"/>
    <w:rsid w:val="24C7673D"/>
    <w:rsid w:val="24CC4618"/>
    <w:rsid w:val="24DD1407"/>
    <w:rsid w:val="24EA6C0E"/>
    <w:rsid w:val="24F23A96"/>
    <w:rsid w:val="24FE68D2"/>
    <w:rsid w:val="24FF784E"/>
    <w:rsid w:val="2505529B"/>
    <w:rsid w:val="251218E6"/>
    <w:rsid w:val="252B3B89"/>
    <w:rsid w:val="253250D8"/>
    <w:rsid w:val="2534229A"/>
    <w:rsid w:val="253E2BAA"/>
    <w:rsid w:val="25504691"/>
    <w:rsid w:val="256F27D7"/>
    <w:rsid w:val="25784125"/>
    <w:rsid w:val="257C268E"/>
    <w:rsid w:val="257F5133"/>
    <w:rsid w:val="25850AF6"/>
    <w:rsid w:val="259428F2"/>
    <w:rsid w:val="25984377"/>
    <w:rsid w:val="259E68D8"/>
    <w:rsid w:val="25AA5EAB"/>
    <w:rsid w:val="25B150E7"/>
    <w:rsid w:val="25B34F53"/>
    <w:rsid w:val="25C86DF9"/>
    <w:rsid w:val="25CB6588"/>
    <w:rsid w:val="25CD2936"/>
    <w:rsid w:val="25D362A2"/>
    <w:rsid w:val="25DD4CB0"/>
    <w:rsid w:val="2605395E"/>
    <w:rsid w:val="26133D62"/>
    <w:rsid w:val="26140EC5"/>
    <w:rsid w:val="26142A9A"/>
    <w:rsid w:val="261953E9"/>
    <w:rsid w:val="262D6977"/>
    <w:rsid w:val="263447D1"/>
    <w:rsid w:val="263648AC"/>
    <w:rsid w:val="264323F2"/>
    <w:rsid w:val="264764DB"/>
    <w:rsid w:val="26517D8D"/>
    <w:rsid w:val="26572E12"/>
    <w:rsid w:val="265D1963"/>
    <w:rsid w:val="267A41AC"/>
    <w:rsid w:val="267B71B2"/>
    <w:rsid w:val="267C09B3"/>
    <w:rsid w:val="267D4316"/>
    <w:rsid w:val="268B138A"/>
    <w:rsid w:val="269C7E25"/>
    <w:rsid w:val="26BB6F64"/>
    <w:rsid w:val="26C86887"/>
    <w:rsid w:val="26FD33DF"/>
    <w:rsid w:val="26FE0312"/>
    <w:rsid w:val="270524B3"/>
    <w:rsid w:val="270C45F8"/>
    <w:rsid w:val="27105BB5"/>
    <w:rsid w:val="271612AC"/>
    <w:rsid w:val="271C1913"/>
    <w:rsid w:val="27244105"/>
    <w:rsid w:val="272B631E"/>
    <w:rsid w:val="27353FBE"/>
    <w:rsid w:val="273A2296"/>
    <w:rsid w:val="274A3DA9"/>
    <w:rsid w:val="27564D81"/>
    <w:rsid w:val="277344D7"/>
    <w:rsid w:val="27787EB8"/>
    <w:rsid w:val="278D713E"/>
    <w:rsid w:val="2792259F"/>
    <w:rsid w:val="27990CDE"/>
    <w:rsid w:val="27AF2F9E"/>
    <w:rsid w:val="27B76547"/>
    <w:rsid w:val="27BF4A70"/>
    <w:rsid w:val="27C20591"/>
    <w:rsid w:val="27C75D85"/>
    <w:rsid w:val="27D1121B"/>
    <w:rsid w:val="27E452D1"/>
    <w:rsid w:val="27EC67A3"/>
    <w:rsid w:val="28021A59"/>
    <w:rsid w:val="281A77D4"/>
    <w:rsid w:val="28241405"/>
    <w:rsid w:val="28263264"/>
    <w:rsid w:val="28282124"/>
    <w:rsid w:val="282F359C"/>
    <w:rsid w:val="28320BE9"/>
    <w:rsid w:val="283C57B9"/>
    <w:rsid w:val="28412094"/>
    <w:rsid w:val="28420895"/>
    <w:rsid w:val="28435FC3"/>
    <w:rsid w:val="284B47DD"/>
    <w:rsid w:val="284D6D75"/>
    <w:rsid w:val="28506006"/>
    <w:rsid w:val="28510F86"/>
    <w:rsid w:val="285B547C"/>
    <w:rsid w:val="285C7220"/>
    <w:rsid w:val="28660AD3"/>
    <w:rsid w:val="286E21DA"/>
    <w:rsid w:val="28796123"/>
    <w:rsid w:val="28A075D4"/>
    <w:rsid w:val="28A92C3E"/>
    <w:rsid w:val="28B34A2A"/>
    <w:rsid w:val="28BA3F77"/>
    <w:rsid w:val="28DE26A4"/>
    <w:rsid w:val="28E417C7"/>
    <w:rsid w:val="28E85236"/>
    <w:rsid w:val="29021DE3"/>
    <w:rsid w:val="291A0B6E"/>
    <w:rsid w:val="292025C9"/>
    <w:rsid w:val="29205F9B"/>
    <w:rsid w:val="293606AF"/>
    <w:rsid w:val="293924F6"/>
    <w:rsid w:val="293C1418"/>
    <w:rsid w:val="293D0BD9"/>
    <w:rsid w:val="293E5F38"/>
    <w:rsid w:val="29476EA9"/>
    <w:rsid w:val="294D397C"/>
    <w:rsid w:val="29565087"/>
    <w:rsid w:val="29581A27"/>
    <w:rsid w:val="2962029F"/>
    <w:rsid w:val="296707B6"/>
    <w:rsid w:val="296D29CF"/>
    <w:rsid w:val="29731190"/>
    <w:rsid w:val="29926180"/>
    <w:rsid w:val="299A6B7B"/>
    <w:rsid w:val="299E541A"/>
    <w:rsid w:val="29A06703"/>
    <w:rsid w:val="29A376E4"/>
    <w:rsid w:val="29A54E98"/>
    <w:rsid w:val="29AE7FEF"/>
    <w:rsid w:val="29C44FF4"/>
    <w:rsid w:val="29E1520C"/>
    <w:rsid w:val="29EA63D1"/>
    <w:rsid w:val="29F774C5"/>
    <w:rsid w:val="2A01220D"/>
    <w:rsid w:val="2A094849"/>
    <w:rsid w:val="2A0F6330"/>
    <w:rsid w:val="2A140CAD"/>
    <w:rsid w:val="2A1E3465"/>
    <w:rsid w:val="2A1E7472"/>
    <w:rsid w:val="2A2318A6"/>
    <w:rsid w:val="2A31280A"/>
    <w:rsid w:val="2A48728B"/>
    <w:rsid w:val="2A4A38B0"/>
    <w:rsid w:val="2A530C1D"/>
    <w:rsid w:val="2A561E1E"/>
    <w:rsid w:val="2A584BCB"/>
    <w:rsid w:val="2A6A1553"/>
    <w:rsid w:val="2A730EEE"/>
    <w:rsid w:val="2A760FAB"/>
    <w:rsid w:val="2A8711E9"/>
    <w:rsid w:val="2A885516"/>
    <w:rsid w:val="2A890264"/>
    <w:rsid w:val="2AAD3300"/>
    <w:rsid w:val="2AAF646C"/>
    <w:rsid w:val="2AAF7424"/>
    <w:rsid w:val="2ABE6A2E"/>
    <w:rsid w:val="2AC718BC"/>
    <w:rsid w:val="2ACF0B96"/>
    <w:rsid w:val="2AE23B3C"/>
    <w:rsid w:val="2AEF6712"/>
    <w:rsid w:val="2B0835D0"/>
    <w:rsid w:val="2B0955EA"/>
    <w:rsid w:val="2B1B7D34"/>
    <w:rsid w:val="2B21054B"/>
    <w:rsid w:val="2B2D441E"/>
    <w:rsid w:val="2B380A16"/>
    <w:rsid w:val="2B472C9C"/>
    <w:rsid w:val="2B4D3F53"/>
    <w:rsid w:val="2B611ABA"/>
    <w:rsid w:val="2B662A84"/>
    <w:rsid w:val="2B8C73FD"/>
    <w:rsid w:val="2B9C71CE"/>
    <w:rsid w:val="2BAE0039"/>
    <w:rsid w:val="2BC0470C"/>
    <w:rsid w:val="2BCF40F4"/>
    <w:rsid w:val="2BD700F9"/>
    <w:rsid w:val="2BE95EFB"/>
    <w:rsid w:val="2BF67340"/>
    <w:rsid w:val="2C0A6A50"/>
    <w:rsid w:val="2C144A90"/>
    <w:rsid w:val="2C191B7D"/>
    <w:rsid w:val="2C2E5FE2"/>
    <w:rsid w:val="2C3543B2"/>
    <w:rsid w:val="2C5523E3"/>
    <w:rsid w:val="2C61260A"/>
    <w:rsid w:val="2C642733"/>
    <w:rsid w:val="2C6A0A84"/>
    <w:rsid w:val="2C746F50"/>
    <w:rsid w:val="2C7B7A56"/>
    <w:rsid w:val="2C9C4BBA"/>
    <w:rsid w:val="2C9E046D"/>
    <w:rsid w:val="2CC45658"/>
    <w:rsid w:val="2CD03B9E"/>
    <w:rsid w:val="2CE03230"/>
    <w:rsid w:val="2CE843CF"/>
    <w:rsid w:val="2CEB299B"/>
    <w:rsid w:val="2CED5A52"/>
    <w:rsid w:val="2D0C4BDB"/>
    <w:rsid w:val="2D0F04FC"/>
    <w:rsid w:val="2D1703D8"/>
    <w:rsid w:val="2D190E2C"/>
    <w:rsid w:val="2D2969F0"/>
    <w:rsid w:val="2D350343"/>
    <w:rsid w:val="2D363DB6"/>
    <w:rsid w:val="2D3729D4"/>
    <w:rsid w:val="2D3E57C8"/>
    <w:rsid w:val="2D3F085F"/>
    <w:rsid w:val="2D506AF9"/>
    <w:rsid w:val="2D506D67"/>
    <w:rsid w:val="2D636540"/>
    <w:rsid w:val="2D72226F"/>
    <w:rsid w:val="2D831C1E"/>
    <w:rsid w:val="2D881139"/>
    <w:rsid w:val="2D9B5925"/>
    <w:rsid w:val="2DA13731"/>
    <w:rsid w:val="2DA15F14"/>
    <w:rsid w:val="2DA47217"/>
    <w:rsid w:val="2DAF3940"/>
    <w:rsid w:val="2DB36B85"/>
    <w:rsid w:val="2DB60F43"/>
    <w:rsid w:val="2DC00CDA"/>
    <w:rsid w:val="2DD32C52"/>
    <w:rsid w:val="2DDA4B25"/>
    <w:rsid w:val="2DF66D0F"/>
    <w:rsid w:val="2E043637"/>
    <w:rsid w:val="2E0F3880"/>
    <w:rsid w:val="2E113C7B"/>
    <w:rsid w:val="2E3539E9"/>
    <w:rsid w:val="2E3F5442"/>
    <w:rsid w:val="2E53444F"/>
    <w:rsid w:val="2E561C9B"/>
    <w:rsid w:val="2E620F79"/>
    <w:rsid w:val="2E671D49"/>
    <w:rsid w:val="2E6A36F2"/>
    <w:rsid w:val="2E7F0DEE"/>
    <w:rsid w:val="2E813684"/>
    <w:rsid w:val="2E8B04C0"/>
    <w:rsid w:val="2EC52824"/>
    <w:rsid w:val="2EC93542"/>
    <w:rsid w:val="2ECE0481"/>
    <w:rsid w:val="2EDE1BFB"/>
    <w:rsid w:val="2EE04EF4"/>
    <w:rsid w:val="2EE34D9C"/>
    <w:rsid w:val="2EE46BAD"/>
    <w:rsid w:val="2F026E72"/>
    <w:rsid w:val="2F0E6DC7"/>
    <w:rsid w:val="2F2807C1"/>
    <w:rsid w:val="2F2B6529"/>
    <w:rsid w:val="2F3855C9"/>
    <w:rsid w:val="2F44049C"/>
    <w:rsid w:val="2F465CA7"/>
    <w:rsid w:val="2F4A6B6A"/>
    <w:rsid w:val="2F605F31"/>
    <w:rsid w:val="2F633CE7"/>
    <w:rsid w:val="2F67278D"/>
    <w:rsid w:val="2F6D3E65"/>
    <w:rsid w:val="2F8A67A0"/>
    <w:rsid w:val="2F922AF0"/>
    <w:rsid w:val="2F987BA3"/>
    <w:rsid w:val="2FA27084"/>
    <w:rsid w:val="2FB12D2D"/>
    <w:rsid w:val="2FC303ED"/>
    <w:rsid w:val="2FD84935"/>
    <w:rsid w:val="2FDC2EDB"/>
    <w:rsid w:val="2FDD07CA"/>
    <w:rsid w:val="2FEC6C3D"/>
    <w:rsid w:val="2FEE680C"/>
    <w:rsid w:val="2FEF4068"/>
    <w:rsid w:val="2FFD56CC"/>
    <w:rsid w:val="30026A02"/>
    <w:rsid w:val="30042C7D"/>
    <w:rsid w:val="300D6F3D"/>
    <w:rsid w:val="3010163C"/>
    <w:rsid w:val="302B4B81"/>
    <w:rsid w:val="302C44E2"/>
    <w:rsid w:val="302E41E8"/>
    <w:rsid w:val="3043701F"/>
    <w:rsid w:val="305A28C2"/>
    <w:rsid w:val="305B7C64"/>
    <w:rsid w:val="306B3373"/>
    <w:rsid w:val="307868EE"/>
    <w:rsid w:val="307C2CA0"/>
    <w:rsid w:val="307D4A5C"/>
    <w:rsid w:val="308870AB"/>
    <w:rsid w:val="30891C38"/>
    <w:rsid w:val="308B5D30"/>
    <w:rsid w:val="30AD27AB"/>
    <w:rsid w:val="30B01FBC"/>
    <w:rsid w:val="30B70121"/>
    <w:rsid w:val="30C25396"/>
    <w:rsid w:val="30CB5544"/>
    <w:rsid w:val="30CB6456"/>
    <w:rsid w:val="30D33017"/>
    <w:rsid w:val="30EB013C"/>
    <w:rsid w:val="30EF04D7"/>
    <w:rsid w:val="30FA074F"/>
    <w:rsid w:val="30FA6AA0"/>
    <w:rsid w:val="310710A1"/>
    <w:rsid w:val="310C5B01"/>
    <w:rsid w:val="310C6B88"/>
    <w:rsid w:val="312E0684"/>
    <w:rsid w:val="312F7DFE"/>
    <w:rsid w:val="31353314"/>
    <w:rsid w:val="313A2A6E"/>
    <w:rsid w:val="313C3E8E"/>
    <w:rsid w:val="31434149"/>
    <w:rsid w:val="31564836"/>
    <w:rsid w:val="31571361"/>
    <w:rsid w:val="315C3B48"/>
    <w:rsid w:val="316149B4"/>
    <w:rsid w:val="31693564"/>
    <w:rsid w:val="317717A5"/>
    <w:rsid w:val="319567FE"/>
    <w:rsid w:val="319A4D84"/>
    <w:rsid w:val="31A125D1"/>
    <w:rsid w:val="31B16D08"/>
    <w:rsid w:val="31B448D7"/>
    <w:rsid w:val="31BC5D6F"/>
    <w:rsid w:val="31C5633B"/>
    <w:rsid w:val="31CD483C"/>
    <w:rsid w:val="31E84121"/>
    <w:rsid w:val="31EB1F02"/>
    <w:rsid w:val="31EF49AA"/>
    <w:rsid w:val="31FD5454"/>
    <w:rsid w:val="32177538"/>
    <w:rsid w:val="322F3062"/>
    <w:rsid w:val="32304717"/>
    <w:rsid w:val="32321EBE"/>
    <w:rsid w:val="32391DA6"/>
    <w:rsid w:val="32432F5E"/>
    <w:rsid w:val="326479F8"/>
    <w:rsid w:val="327F6679"/>
    <w:rsid w:val="3282041B"/>
    <w:rsid w:val="328B7EF8"/>
    <w:rsid w:val="328D63F7"/>
    <w:rsid w:val="329058A6"/>
    <w:rsid w:val="3293062C"/>
    <w:rsid w:val="32A50CE6"/>
    <w:rsid w:val="32A61DA7"/>
    <w:rsid w:val="32B661D4"/>
    <w:rsid w:val="32B867C8"/>
    <w:rsid w:val="32C32F20"/>
    <w:rsid w:val="32DE4EFC"/>
    <w:rsid w:val="32E6612A"/>
    <w:rsid w:val="32E71E3E"/>
    <w:rsid w:val="32F267F1"/>
    <w:rsid w:val="32FB7ED1"/>
    <w:rsid w:val="33240A7C"/>
    <w:rsid w:val="333B3093"/>
    <w:rsid w:val="334252D9"/>
    <w:rsid w:val="334D38C6"/>
    <w:rsid w:val="335939DD"/>
    <w:rsid w:val="335D756D"/>
    <w:rsid w:val="337210CA"/>
    <w:rsid w:val="337711EF"/>
    <w:rsid w:val="3378564A"/>
    <w:rsid w:val="3399046A"/>
    <w:rsid w:val="33A260DC"/>
    <w:rsid w:val="33AC0754"/>
    <w:rsid w:val="33AD4398"/>
    <w:rsid w:val="33B00659"/>
    <w:rsid w:val="33B817F6"/>
    <w:rsid w:val="33B97383"/>
    <w:rsid w:val="33C13F8E"/>
    <w:rsid w:val="33D5386C"/>
    <w:rsid w:val="33EB3DF2"/>
    <w:rsid w:val="33F85A0F"/>
    <w:rsid w:val="33F95769"/>
    <w:rsid w:val="33FE16DE"/>
    <w:rsid w:val="342C7624"/>
    <w:rsid w:val="344A1A89"/>
    <w:rsid w:val="344F0376"/>
    <w:rsid w:val="3451510B"/>
    <w:rsid w:val="345F79A2"/>
    <w:rsid w:val="34771D06"/>
    <w:rsid w:val="347A51A5"/>
    <w:rsid w:val="347E2DD8"/>
    <w:rsid w:val="348A399E"/>
    <w:rsid w:val="3497669A"/>
    <w:rsid w:val="349D50A4"/>
    <w:rsid w:val="34B06283"/>
    <w:rsid w:val="34CD7260"/>
    <w:rsid w:val="34E61C43"/>
    <w:rsid w:val="34F15AF4"/>
    <w:rsid w:val="34F61244"/>
    <w:rsid w:val="35021C06"/>
    <w:rsid w:val="350758A6"/>
    <w:rsid w:val="350B7902"/>
    <w:rsid w:val="351D1328"/>
    <w:rsid w:val="355D4EB4"/>
    <w:rsid w:val="355E46F2"/>
    <w:rsid w:val="35724DB5"/>
    <w:rsid w:val="357C5368"/>
    <w:rsid w:val="358266D6"/>
    <w:rsid w:val="358A003E"/>
    <w:rsid w:val="358A7E4A"/>
    <w:rsid w:val="3590319C"/>
    <w:rsid w:val="359549F8"/>
    <w:rsid w:val="35971D20"/>
    <w:rsid w:val="35AB2D50"/>
    <w:rsid w:val="35B6379D"/>
    <w:rsid w:val="35BB6E36"/>
    <w:rsid w:val="35C1744D"/>
    <w:rsid w:val="35D1473D"/>
    <w:rsid w:val="35F062CC"/>
    <w:rsid w:val="35F92BE5"/>
    <w:rsid w:val="35FE4519"/>
    <w:rsid w:val="36005839"/>
    <w:rsid w:val="36025EBD"/>
    <w:rsid w:val="36034304"/>
    <w:rsid w:val="36037705"/>
    <w:rsid w:val="36117151"/>
    <w:rsid w:val="3613233D"/>
    <w:rsid w:val="361718DC"/>
    <w:rsid w:val="361C0438"/>
    <w:rsid w:val="362A0BE3"/>
    <w:rsid w:val="362F158B"/>
    <w:rsid w:val="36307120"/>
    <w:rsid w:val="3632125B"/>
    <w:rsid w:val="3640604B"/>
    <w:rsid w:val="364A4053"/>
    <w:rsid w:val="3652116C"/>
    <w:rsid w:val="365604AD"/>
    <w:rsid w:val="365B5E07"/>
    <w:rsid w:val="365E7E57"/>
    <w:rsid w:val="36745119"/>
    <w:rsid w:val="36762B36"/>
    <w:rsid w:val="367F45F6"/>
    <w:rsid w:val="369046A2"/>
    <w:rsid w:val="36AA39B8"/>
    <w:rsid w:val="36BB3224"/>
    <w:rsid w:val="36C01E29"/>
    <w:rsid w:val="36C572E8"/>
    <w:rsid w:val="36C65BC2"/>
    <w:rsid w:val="36C821A4"/>
    <w:rsid w:val="36CD7F78"/>
    <w:rsid w:val="36D37903"/>
    <w:rsid w:val="36D53395"/>
    <w:rsid w:val="37287347"/>
    <w:rsid w:val="37444DCC"/>
    <w:rsid w:val="37477D39"/>
    <w:rsid w:val="376C0110"/>
    <w:rsid w:val="377D6A97"/>
    <w:rsid w:val="37895588"/>
    <w:rsid w:val="37903153"/>
    <w:rsid w:val="3797430F"/>
    <w:rsid w:val="37AA0461"/>
    <w:rsid w:val="37D83505"/>
    <w:rsid w:val="37F432BD"/>
    <w:rsid w:val="38043EED"/>
    <w:rsid w:val="3805356E"/>
    <w:rsid w:val="38063D67"/>
    <w:rsid w:val="381758DA"/>
    <w:rsid w:val="38204B23"/>
    <w:rsid w:val="382C16CF"/>
    <w:rsid w:val="38347A65"/>
    <w:rsid w:val="383D10D3"/>
    <w:rsid w:val="384235D5"/>
    <w:rsid w:val="386E71F2"/>
    <w:rsid w:val="386F5C43"/>
    <w:rsid w:val="38713816"/>
    <w:rsid w:val="388B0AD2"/>
    <w:rsid w:val="38964FE5"/>
    <w:rsid w:val="38A576C2"/>
    <w:rsid w:val="38B63AF0"/>
    <w:rsid w:val="38BA7F54"/>
    <w:rsid w:val="38BF11EA"/>
    <w:rsid w:val="38DE06EF"/>
    <w:rsid w:val="390E35A5"/>
    <w:rsid w:val="39143922"/>
    <w:rsid w:val="39226A03"/>
    <w:rsid w:val="39232A3E"/>
    <w:rsid w:val="39427EA1"/>
    <w:rsid w:val="394F0E83"/>
    <w:rsid w:val="395851D2"/>
    <w:rsid w:val="395B668B"/>
    <w:rsid w:val="395C450B"/>
    <w:rsid w:val="39703B43"/>
    <w:rsid w:val="3975415A"/>
    <w:rsid w:val="39795719"/>
    <w:rsid w:val="3979755F"/>
    <w:rsid w:val="398F4820"/>
    <w:rsid w:val="399122FC"/>
    <w:rsid w:val="39981262"/>
    <w:rsid w:val="39AD7319"/>
    <w:rsid w:val="39B713D5"/>
    <w:rsid w:val="39D3661C"/>
    <w:rsid w:val="39DE7147"/>
    <w:rsid w:val="39F6509B"/>
    <w:rsid w:val="39F65935"/>
    <w:rsid w:val="3A017ABA"/>
    <w:rsid w:val="3A040E6B"/>
    <w:rsid w:val="3A150B85"/>
    <w:rsid w:val="3A373871"/>
    <w:rsid w:val="3A397C14"/>
    <w:rsid w:val="3A3B0FFA"/>
    <w:rsid w:val="3A507D9B"/>
    <w:rsid w:val="3A6E0294"/>
    <w:rsid w:val="3A726254"/>
    <w:rsid w:val="3A984876"/>
    <w:rsid w:val="3A9C6634"/>
    <w:rsid w:val="3AA07642"/>
    <w:rsid w:val="3AA76D5A"/>
    <w:rsid w:val="3AB10060"/>
    <w:rsid w:val="3AB30A16"/>
    <w:rsid w:val="3ABC68CE"/>
    <w:rsid w:val="3AC40953"/>
    <w:rsid w:val="3AC5737A"/>
    <w:rsid w:val="3AC60AFD"/>
    <w:rsid w:val="3ACA55E4"/>
    <w:rsid w:val="3ADC5492"/>
    <w:rsid w:val="3AE17183"/>
    <w:rsid w:val="3AF51283"/>
    <w:rsid w:val="3B032368"/>
    <w:rsid w:val="3B0C5D64"/>
    <w:rsid w:val="3B27401A"/>
    <w:rsid w:val="3B2C4FEF"/>
    <w:rsid w:val="3B305482"/>
    <w:rsid w:val="3B380BB3"/>
    <w:rsid w:val="3B3F40D7"/>
    <w:rsid w:val="3B425C85"/>
    <w:rsid w:val="3B46080C"/>
    <w:rsid w:val="3B6721DD"/>
    <w:rsid w:val="3B6C6D0D"/>
    <w:rsid w:val="3B6F7171"/>
    <w:rsid w:val="3B7616B5"/>
    <w:rsid w:val="3B812B1C"/>
    <w:rsid w:val="3B85204D"/>
    <w:rsid w:val="3B8935CA"/>
    <w:rsid w:val="3B8D1DF5"/>
    <w:rsid w:val="3B8F2744"/>
    <w:rsid w:val="3B992160"/>
    <w:rsid w:val="3B9B205E"/>
    <w:rsid w:val="3B9B6868"/>
    <w:rsid w:val="3BAD1150"/>
    <w:rsid w:val="3BB32DE6"/>
    <w:rsid w:val="3BB836DA"/>
    <w:rsid w:val="3BD7743D"/>
    <w:rsid w:val="3BDD14DC"/>
    <w:rsid w:val="3BE83D42"/>
    <w:rsid w:val="3BF35437"/>
    <w:rsid w:val="3BF36FAF"/>
    <w:rsid w:val="3BFF1F8D"/>
    <w:rsid w:val="3C060596"/>
    <w:rsid w:val="3C2150A5"/>
    <w:rsid w:val="3C2755D1"/>
    <w:rsid w:val="3C4B08F9"/>
    <w:rsid w:val="3C571098"/>
    <w:rsid w:val="3C5A11D9"/>
    <w:rsid w:val="3C662985"/>
    <w:rsid w:val="3C83204F"/>
    <w:rsid w:val="3C8A428B"/>
    <w:rsid w:val="3C8C0692"/>
    <w:rsid w:val="3C8F6FC0"/>
    <w:rsid w:val="3C90080C"/>
    <w:rsid w:val="3C956BAB"/>
    <w:rsid w:val="3CA20047"/>
    <w:rsid w:val="3CBC2BD6"/>
    <w:rsid w:val="3CD84C49"/>
    <w:rsid w:val="3CDE6EA0"/>
    <w:rsid w:val="3CE11447"/>
    <w:rsid w:val="3CE70777"/>
    <w:rsid w:val="3CE83F0C"/>
    <w:rsid w:val="3CF67A92"/>
    <w:rsid w:val="3CF81D16"/>
    <w:rsid w:val="3D0474A1"/>
    <w:rsid w:val="3D062135"/>
    <w:rsid w:val="3D1851CC"/>
    <w:rsid w:val="3D19175C"/>
    <w:rsid w:val="3D1A3F01"/>
    <w:rsid w:val="3D200CE1"/>
    <w:rsid w:val="3D3675FD"/>
    <w:rsid w:val="3D3C59BB"/>
    <w:rsid w:val="3D4C3721"/>
    <w:rsid w:val="3D640624"/>
    <w:rsid w:val="3D670293"/>
    <w:rsid w:val="3D6A3662"/>
    <w:rsid w:val="3D7B3F2F"/>
    <w:rsid w:val="3D7C7C4C"/>
    <w:rsid w:val="3D9A6745"/>
    <w:rsid w:val="3DA3416A"/>
    <w:rsid w:val="3DA35037"/>
    <w:rsid w:val="3DA47D6F"/>
    <w:rsid w:val="3DB766F3"/>
    <w:rsid w:val="3DB81B32"/>
    <w:rsid w:val="3DDE045E"/>
    <w:rsid w:val="3DEA74C2"/>
    <w:rsid w:val="3DFA448E"/>
    <w:rsid w:val="3DFC0046"/>
    <w:rsid w:val="3E023ED3"/>
    <w:rsid w:val="3E0C3B21"/>
    <w:rsid w:val="3E1B1147"/>
    <w:rsid w:val="3E265D8D"/>
    <w:rsid w:val="3E390B00"/>
    <w:rsid w:val="3E417939"/>
    <w:rsid w:val="3E5A1D69"/>
    <w:rsid w:val="3E6667EB"/>
    <w:rsid w:val="3E69443E"/>
    <w:rsid w:val="3E7907B6"/>
    <w:rsid w:val="3E86253C"/>
    <w:rsid w:val="3E9F2596"/>
    <w:rsid w:val="3EAA35E9"/>
    <w:rsid w:val="3EAC0CF6"/>
    <w:rsid w:val="3EAC1701"/>
    <w:rsid w:val="3EAE039F"/>
    <w:rsid w:val="3EB214E7"/>
    <w:rsid w:val="3EB37A24"/>
    <w:rsid w:val="3EE17F4A"/>
    <w:rsid w:val="3EF50355"/>
    <w:rsid w:val="3F062D9B"/>
    <w:rsid w:val="3F14061C"/>
    <w:rsid w:val="3F181DBE"/>
    <w:rsid w:val="3F210C7A"/>
    <w:rsid w:val="3F2F73B7"/>
    <w:rsid w:val="3F3A57DC"/>
    <w:rsid w:val="3F5E784F"/>
    <w:rsid w:val="3F8223AD"/>
    <w:rsid w:val="3F8E0A56"/>
    <w:rsid w:val="3F993738"/>
    <w:rsid w:val="3F9B54EF"/>
    <w:rsid w:val="3FA247B8"/>
    <w:rsid w:val="3FBD689E"/>
    <w:rsid w:val="3FC86DAF"/>
    <w:rsid w:val="3FCB6515"/>
    <w:rsid w:val="3FE15CC3"/>
    <w:rsid w:val="3FE74CE2"/>
    <w:rsid w:val="3FFB6233"/>
    <w:rsid w:val="4013542C"/>
    <w:rsid w:val="40231FFC"/>
    <w:rsid w:val="402401C6"/>
    <w:rsid w:val="40363B9A"/>
    <w:rsid w:val="40383619"/>
    <w:rsid w:val="403C1319"/>
    <w:rsid w:val="403D208D"/>
    <w:rsid w:val="404724CF"/>
    <w:rsid w:val="40481EA6"/>
    <w:rsid w:val="404E4107"/>
    <w:rsid w:val="4052627B"/>
    <w:rsid w:val="40530B19"/>
    <w:rsid w:val="40564020"/>
    <w:rsid w:val="40610B7B"/>
    <w:rsid w:val="40720BA9"/>
    <w:rsid w:val="407F0990"/>
    <w:rsid w:val="40835C11"/>
    <w:rsid w:val="408737F6"/>
    <w:rsid w:val="40955D0D"/>
    <w:rsid w:val="40AC2BE2"/>
    <w:rsid w:val="40BA098F"/>
    <w:rsid w:val="40BD7220"/>
    <w:rsid w:val="40C810BD"/>
    <w:rsid w:val="40D90725"/>
    <w:rsid w:val="40E41E34"/>
    <w:rsid w:val="40F3031D"/>
    <w:rsid w:val="41073874"/>
    <w:rsid w:val="410B78E5"/>
    <w:rsid w:val="410E7CFB"/>
    <w:rsid w:val="411D6996"/>
    <w:rsid w:val="411E5BF6"/>
    <w:rsid w:val="41305F7C"/>
    <w:rsid w:val="41463B1C"/>
    <w:rsid w:val="414A28A6"/>
    <w:rsid w:val="414B09AC"/>
    <w:rsid w:val="414B4683"/>
    <w:rsid w:val="415128B5"/>
    <w:rsid w:val="415820B8"/>
    <w:rsid w:val="415D64DE"/>
    <w:rsid w:val="41601525"/>
    <w:rsid w:val="41623E54"/>
    <w:rsid w:val="41657C35"/>
    <w:rsid w:val="416B4D11"/>
    <w:rsid w:val="416F410F"/>
    <w:rsid w:val="4181103F"/>
    <w:rsid w:val="41811BE0"/>
    <w:rsid w:val="4182580E"/>
    <w:rsid w:val="4194608A"/>
    <w:rsid w:val="419633AA"/>
    <w:rsid w:val="41A266E0"/>
    <w:rsid w:val="41AD0975"/>
    <w:rsid w:val="41B74B99"/>
    <w:rsid w:val="41C8474B"/>
    <w:rsid w:val="41DD62D4"/>
    <w:rsid w:val="41E64CFC"/>
    <w:rsid w:val="42092146"/>
    <w:rsid w:val="420C52B4"/>
    <w:rsid w:val="42104156"/>
    <w:rsid w:val="4218789D"/>
    <w:rsid w:val="421D673C"/>
    <w:rsid w:val="42201C89"/>
    <w:rsid w:val="4221770A"/>
    <w:rsid w:val="4242449F"/>
    <w:rsid w:val="424A2FFC"/>
    <w:rsid w:val="4254350E"/>
    <w:rsid w:val="4259758B"/>
    <w:rsid w:val="4259764F"/>
    <w:rsid w:val="425E5ACE"/>
    <w:rsid w:val="42604F5E"/>
    <w:rsid w:val="42683702"/>
    <w:rsid w:val="426F67DF"/>
    <w:rsid w:val="42780119"/>
    <w:rsid w:val="4279255D"/>
    <w:rsid w:val="42932D81"/>
    <w:rsid w:val="42B4538D"/>
    <w:rsid w:val="42BB46A4"/>
    <w:rsid w:val="42BC1934"/>
    <w:rsid w:val="42BD06BC"/>
    <w:rsid w:val="42BE4C36"/>
    <w:rsid w:val="42C46391"/>
    <w:rsid w:val="42C83F4B"/>
    <w:rsid w:val="42E93AB6"/>
    <w:rsid w:val="42EE578E"/>
    <w:rsid w:val="43087A08"/>
    <w:rsid w:val="430F3EC6"/>
    <w:rsid w:val="43331C1A"/>
    <w:rsid w:val="43362FA2"/>
    <w:rsid w:val="43450FAC"/>
    <w:rsid w:val="434F5B7A"/>
    <w:rsid w:val="435F1388"/>
    <w:rsid w:val="43710154"/>
    <w:rsid w:val="437B58C1"/>
    <w:rsid w:val="438C5B2D"/>
    <w:rsid w:val="43A324A6"/>
    <w:rsid w:val="43A405E0"/>
    <w:rsid w:val="43A75C5C"/>
    <w:rsid w:val="43B05977"/>
    <w:rsid w:val="43B44B65"/>
    <w:rsid w:val="43C01DEA"/>
    <w:rsid w:val="43CF1ADF"/>
    <w:rsid w:val="43D66905"/>
    <w:rsid w:val="440A1F72"/>
    <w:rsid w:val="441F4D86"/>
    <w:rsid w:val="442A5992"/>
    <w:rsid w:val="444235C1"/>
    <w:rsid w:val="44465DC0"/>
    <w:rsid w:val="44493AD7"/>
    <w:rsid w:val="44515C63"/>
    <w:rsid w:val="445D28B8"/>
    <w:rsid w:val="44642A63"/>
    <w:rsid w:val="44703DBD"/>
    <w:rsid w:val="44777B41"/>
    <w:rsid w:val="44986F84"/>
    <w:rsid w:val="44A73C06"/>
    <w:rsid w:val="44AA564B"/>
    <w:rsid w:val="44D27F43"/>
    <w:rsid w:val="44D73661"/>
    <w:rsid w:val="44DA57C5"/>
    <w:rsid w:val="44DC7BC3"/>
    <w:rsid w:val="44E0270F"/>
    <w:rsid w:val="44E05AE2"/>
    <w:rsid w:val="44E40D7B"/>
    <w:rsid w:val="44FE0DBC"/>
    <w:rsid w:val="4525098A"/>
    <w:rsid w:val="452D25A3"/>
    <w:rsid w:val="453E2BEB"/>
    <w:rsid w:val="4549123C"/>
    <w:rsid w:val="454E7AFC"/>
    <w:rsid w:val="45570298"/>
    <w:rsid w:val="45640909"/>
    <w:rsid w:val="456D1EE4"/>
    <w:rsid w:val="456F3EF3"/>
    <w:rsid w:val="4591777D"/>
    <w:rsid w:val="459B1FE0"/>
    <w:rsid w:val="45A76BBC"/>
    <w:rsid w:val="45B9679C"/>
    <w:rsid w:val="45D71050"/>
    <w:rsid w:val="45E52D40"/>
    <w:rsid w:val="45E9212E"/>
    <w:rsid w:val="45F74E39"/>
    <w:rsid w:val="45FD7DF5"/>
    <w:rsid w:val="45FF3C58"/>
    <w:rsid w:val="46033325"/>
    <w:rsid w:val="46067B5A"/>
    <w:rsid w:val="46120C85"/>
    <w:rsid w:val="46177039"/>
    <w:rsid w:val="46341689"/>
    <w:rsid w:val="463A692F"/>
    <w:rsid w:val="46441733"/>
    <w:rsid w:val="464B500D"/>
    <w:rsid w:val="46580520"/>
    <w:rsid w:val="467C50D7"/>
    <w:rsid w:val="468850B3"/>
    <w:rsid w:val="46893D89"/>
    <w:rsid w:val="46B528F6"/>
    <w:rsid w:val="46B94F8A"/>
    <w:rsid w:val="46BA4D42"/>
    <w:rsid w:val="46DB71DC"/>
    <w:rsid w:val="46DC034D"/>
    <w:rsid w:val="46E66565"/>
    <w:rsid w:val="46E8343A"/>
    <w:rsid w:val="46FA2F59"/>
    <w:rsid w:val="470322FB"/>
    <w:rsid w:val="47045488"/>
    <w:rsid w:val="470B3FE0"/>
    <w:rsid w:val="470C2EF0"/>
    <w:rsid w:val="47157D46"/>
    <w:rsid w:val="4719725D"/>
    <w:rsid w:val="4740633A"/>
    <w:rsid w:val="47420A0C"/>
    <w:rsid w:val="474214C0"/>
    <w:rsid w:val="474B3F05"/>
    <w:rsid w:val="475536D3"/>
    <w:rsid w:val="47610001"/>
    <w:rsid w:val="47734DD3"/>
    <w:rsid w:val="47735490"/>
    <w:rsid w:val="47743604"/>
    <w:rsid w:val="4790546E"/>
    <w:rsid w:val="479B2D0A"/>
    <w:rsid w:val="47A57537"/>
    <w:rsid w:val="47A7144B"/>
    <w:rsid w:val="47A85DB0"/>
    <w:rsid w:val="47C71D71"/>
    <w:rsid w:val="47DC053A"/>
    <w:rsid w:val="47EA2A89"/>
    <w:rsid w:val="47EC5F8C"/>
    <w:rsid w:val="47F82A4A"/>
    <w:rsid w:val="47F91704"/>
    <w:rsid w:val="4808590A"/>
    <w:rsid w:val="480A6878"/>
    <w:rsid w:val="480B2BB8"/>
    <w:rsid w:val="481C6A9F"/>
    <w:rsid w:val="482B1A6D"/>
    <w:rsid w:val="48366735"/>
    <w:rsid w:val="483E022D"/>
    <w:rsid w:val="48425324"/>
    <w:rsid w:val="48491D2C"/>
    <w:rsid w:val="48511F36"/>
    <w:rsid w:val="485460CC"/>
    <w:rsid w:val="48563341"/>
    <w:rsid w:val="48686B3E"/>
    <w:rsid w:val="48704848"/>
    <w:rsid w:val="48821DF9"/>
    <w:rsid w:val="488854E3"/>
    <w:rsid w:val="48934C28"/>
    <w:rsid w:val="48AB67D9"/>
    <w:rsid w:val="48BE70FF"/>
    <w:rsid w:val="48C66AEA"/>
    <w:rsid w:val="48D12890"/>
    <w:rsid w:val="48DD0ADE"/>
    <w:rsid w:val="48FE11F4"/>
    <w:rsid w:val="490257CB"/>
    <w:rsid w:val="49091154"/>
    <w:rsid w:val="490F5FE4"/>
    <w:rsid w:val="491650A8"/>
    <w:rsid w:val="492434A7"/>
    <w:rsid w:val="49252811"/>
    <w:rsid w:val="49297DF3"/>
    <w:rsid w:val="493C3D32"/>
    <w:rsid w:val="493D0AAB"/>
    <w:rsid w:val="49522851"/>
    <w:rsid w:val="495332EF"/>
    <w:rsid w:val="49580676"/>
    <w:rsid w:val="49590A6A"/>
    <w:rsid w:val="49696905"/>
    <w:rsid w:val="496A1F77"/>
    <w:rsid w:val="497655D0"/>
    <w:rsid w:val="49821106"/>
    <w:rsid w:val="498454D5"/>
    <w:rsid w:val="49933164"/>
    <w:rsid w:val="49973629"/>
    <w:rsid w:val="49A20604"/>
    <w:rsid w:val="49A548CF"/>
    <w:rsid w:val="49A63680"/>
    <w:rsid w:val="49D5251D"/>
    <w:rsid w:val="49DC24F7"/>
    <w:rsid w:val="49E263FC"/>
    <w:rsid w:val="49E96B79"/>
    <w:rsid w:val="49F7016B"/>
    <w:rsid w:val="4A080885"/>
    <w:rsid w:val="4A0F0748"/>
    <w:rsid w:val="4A2B7107"/>
    <w:rsid w:val="4A2D64B1"/>
    <w:rsid w:val="4A343B83"/>
    <w:rsid w:val="4A5D2770"/>
    <w:rsid w:val="4A627093"/>
    <w:rsid w:val="4A6432EA"/>
    <w:rsid w:val="4A757873"/>
    <w:rsid w:val="4A884FC8"/>
    <w:rsid w:val="4A905A29"/>
    <w:rsid w:val="4A9B4097"/>
    <w:rsid w:val="4AB875B0"/>
    <w:rsid w:val="4AC439BA"/>
    <w:rsid w:val="4ACC633A"/>
    <w:rsid w:val="4AD30829"/>
    <w:rsid w:val="4AD41B5B"/>
    <w:rsid w:val="4AD43876"/>
    <w:rsid w:val="4AD5597F"/>
    <w:rsid w:val="4AD9774E"/>
    <w:rsid w:val="4ADC7326"/>
    <w:rsid w:val="4AE4738B"/>
    <w:rsid w:val="4AE60608"/>
    <w:rsid w:val="4AED1B58"/>
    <w:rsid w:val="4AF0597A"/>
    <w:rsid w:val="4AF71ABC"/>
    <w:rsid w:val="4B094048"/>
    <w:rsid w:val="4B182EDE"/>
    <w:rsid w:val="4B3702C3"/>
    <w:rsid w:val="4B3D270A"/>
    <w:rsid w:val="4B3D6C37"/>
    <w:rsid w:val="4B3F0159"/>
    <w:rsid w:val="4B657A41"/>
    <w:rsid w:val="4B70250A"/>
    <w:rsid w:val="4B783668"/>
    <w:rsid w:val="4B886F88"/>
    <w:rsid w:val="4B8B2FFB"/>
    <w:rsid w:val="4B930083"/>
    <w:rsid w:val="4BA01EE1"/>
    <w:rsid w:val="4BD15178"/>
    <w:rsid w:val="4BD40919"/>
    <w:rsid w:val="4BEB0E5B"/>
    <w:rsid w:val="4BEB429E"/>
    <w:rsid w:val="4BEF18F5"/>
    <w:rsid w:val="4BFE6D71"/>
    <w:rsid w:val="4C0C46A6"/>
    <w:rsid w:val="4C0D2254"/>
    <w:rsid w:val="4C1E50F0"/>
    <w:rsid w:val="4C252C19"/>
    <w:rsid w:val="4C346422"/>
    <w:rsid w:val="4C39104B"/>
    <w:rsid w:val="4C3921A4"/>
    <w:rsid w:val="4C413272"/>
    <w:rsid w:val="4C4D3BFD"/>
    <w:rsid w:val="4C6705EB"/>
    <w:rsid w:val="4C812335"/>
    <w:rsid w:val="4C881E49"/>
    <w:rsid w:val="4C8B4E8E"/>
    <w:rsid w:val="4C8D1D88"/>
    <w:rsid w:val="4C950F8C"/>
    <w:rsid w:val="4C972208"/>
    <w:rsid w:val="4C9F1F4A"/>
    <w:rsid w:val="4CB466C5"/>
    <w:rsid w:val="4CD30F28"/>
    <w:rsid w:val="4CD5340F"/>
    <w:rsid w:val="4CE427E4"/>
    <w:rsid w:val="4CEC1706"/>
    <w:rsid w:val="4CF40756"/>
    <w:rsid w:val="4CFC4641"/>
    <w:rsid w:val="4D000757"/>
    <w:rsid w:val="4D00315C"/>
    <w:rsid w:val="4D0707B6"/>
    <w:rsid w:val="4D162706"/>
    <w:rsid w:val="4D16358F"/>
    <w:rsid w:val="4D1706F5"/>
    <w:rsid w:val="4D2E44B6"/>
    <w:rsid w:val="4D3B4EC4"/>
    <w:rsid w:val="4D3D3FA3"/>
    <w:rsid w:val="4D407F5F"/>
    <w:rsid w:val="4D480659"/>
    <w:rsid w:val="4D551B04"/>
    <w:rsid w:val="4D5E1EC2"/>
    <w:rsid w:val="4D75740F"/>
    <w:rsid w:val="4D786A45"/>
    <w:rsid w:val="4D7B3ED0"/>
    <w:rsid w:val="4D7C1024"/>
    <w:rsid w:val="4D7E1F21"/>
    <w:rsid w:val="4D8E5F61"/>
    <w:rsid w:val="4DAA468F"/>
    <w:rsid w:val="4DB51F05"/>
    <w:rsid w:val="4DB878FE"/>
    <w:rsid w:val="4DC5673B"/>
    <w:rsid w:val="4DE54007"/>
    <w:rsid w:val="4DEF3A1E"/>
    <w:rsid w:val="4DF61D74"/>
    <w:rsid w:val="4DFD61AF"/>
    <w:rsid w:val="4E100981"/>
    <w:rsid w:val="4E171FFF"/>
    <w:rsid w:val="4E1C6E78"/>
    <w:rsid w:val="4E1F5137"/>
    <w:rsid w:val="4E2F35BA"/>
    <w:rsid w:val="4E3A7249"/>
    <w:rsid w:val="4E3A72E2"/>
    <w:rsid w:val="4E4446C6"/>
    <w:rsid w:val="4E4908C8"/>
    <w:rsid w:val="4E50419E"/>
    <w:rsid w:val="4E554770"/>
    <w:rsid w:val="4E5E0C4F"/>
    <w:rsid w:val="4E691332"/>
    <w:rsid w:val="4E74022D"/>
    <w:rsid w:val="4E882872"/>
    <w:rsid w:val="4E8B1E80"/>
    <w:rsid w:val="4E9B3E57"/>
    <w:rsid w:val="4EA0329B"/>
    <w:rsid w:val="4EA44A33"/>
    <w:rsid w:val="4EAA511D"/>
    <w:rsid w:val="4EB86866"/>
    <w:rsid w:val="4EB86BA1"/>
    <w:rsid w:val="4EBB4598"/>
    <w:rsid w:val="4EBD69CA"/>
    <w:rsid w:val="4EC26842"/>
    <w:rsid w:val="4ECA27C8"/>
    <w:rsid w:val="4ECF0DD2"/>
    <w:rsid w:val="4ED07EA4"/>
    <w:rsid w:val="4EFA68A5"/>
    <w:rsid w:val="4F090F85"/>
    <w:rsid w:val="4F1A0D0A"/>
    <w:rsid w:val="4F242A83"/>
    <w:rsid w:val="4F3A498A"/>
    <w:rsid w:val="4F44229B"/>
    <w:rsid w:val="4F4D3CC7"/>
    <w:rsid w:val="4F542636"/>
    <w:rsid w:val="4F557D6B"/>
    <w:rsid w:val="4F564A5B"/>
    <w:rsid w:val="4F6D5812"/>
    <w:rsid w:val="4F715050"/>
    <w:rsid w:val="4F7A5816"/>
    <w:rsid w:val="4F7A7FCB"/>
    <w:rsid w:val="4F8106F9"/>
    <w:rsid w:val="4F956BAC"/>
    <w:rsid w:val="4F9E6C33"/>
    <w:rsid w:val="4FA04A56"/>
    <w:rsid w:val="4FA4258C"/>
    <w:rsid w:val="4FA55D76"/>
    <w:rsid w:val="4FB85468"/>
    <w:rsid w:val="4FC134A4"/>
    <w:rsid w:val="4FC969CD"/>
    <w:rsid w:val="4FCE73FC"/>
    <w:rsid w:val="4FF84DE7"/>
    <w:rsid w:val="4FFE3746"/>
    <w:rsid w:val="50065A00"/>
    <w:rsid w:val="50074FD7"/>
    <w:rsid w:val="500C42A9"/>
    <w:rsid w:val="501C6D64"/>
    <w:rsid w:val="502F74F4"/>
    <w:rsid w:val="50355E48"/>
    <w:rsid w:val="50414178"/>
    <w:rsid w:val="504C6D45"/>
    <w:rsid w:val="504E5212"/>
    <w:rsid w:val="506A34BC"/>
    <w:rsid w:val="506F1401"/>
    <w:rsid w:val="507348C2"/>
    <w:rsid w:val="507375BC"/>
    <w:rsid w:val="507B01FB"/>
    <w:rsid w:val="507F1E51"/>
    <w:rsid w:val="507F34B9"/>
    <w:rsid w:val="50922DDA"/>
    <w:rsid w:val="50953DF8"/>
    <w:rsid w:val="50AB1A18"/>
    <w:rsid w:val="50B47933"/>
    <w:rsid w:val="50B8067E"/>
    <w:rsid w:val="50BB49E7"/>
    <w:rsid w:val="50BC7A9C"/>
    <w:rsid w:val="50C54E04"/>
    <w:rsid w:val="50D80FBD"/>
    <w:rsid w:val="50E52841"/>
    <w:rsid w:val="50F15FDA"/>
    <w:rsid w:val="50F73B7A"/>
    <w:rsid w:val="51037064"/>
    <w:rsid w:val="51055065"/>
    <w:rsid w:val="51157F16"/>
    <w:rsid w:val="51414464"/>
    <w:rsid w:val="514A216C"/>
    <w:rsid w:val="515547D3"/>
    <w:rsid w:val="515714DA"/>
    <w:rsid w:val="51593475"/>
    <w:rsid w:val="51793586"/>
    <w:rsid w:val="51803CBE"/>
    <w:rsid w:val="518A3B9F"/>
    <w:rsid w:val="51964110"/>
    <w:rsid w:val="5197798C"/>
    <w:rsid w:val="519901FF"/>
    <w:rsid w:val="5199094D"/>
    <w:rsid w:val="51A85973"/>
    <w:rsid w:val="51B1254B"/>
    <w:rsid w:val="51C345AF"/>
    <w:rsid w:val="51C50DB9"/>
    <w:rsid w:val="51CE731E"/>
    <w:rsid w:val="51D64549"/>
    <w:rsid w:val="51D93DB1"/>
    <w:rsid w:val="51FA093B"/>
    <w:rsid w:val="51FA1B26"/>
    <w:rsid w:val="520D7E24"/>
    <w:rsid w:val="520E31B8"/>
    <w:rsid w:val="52251EEE"/>
    <w:rsid w:val="52280730"/>
    <w:rsid w:val="522A764A"/>
    <w:rsid w:val="523B7B7E"/>
    <w:rsid w:val="52493EAF"/>
    <w:rsid w:val="524D4297"/>
    <w:rsid w:val="525A1FA9"/>
    <w:rsid w:val="526B5400"/>
    <w:rsid w:val="529B71F5"/>
    <w:rsid w:val="52A3429C"/>
    <w:rsid w:val="52A45397"/>
    <w:rsid w:val="52AF6799"/>
    <w:rsid w:val="52B10DD9"/>
    <w:rsid w:val="52D55B69"/>
    <w:rsid w:val="52F20D99"/>
    <w:rsid w:val="52F723A5"/>
    <w:rsid w:val="5304555A"/>
    <w:rsid w:val="530F5183"/>
    <w:rsid w:val="5311143C"/>
    <w:rsid w:val="53140319"/>
    <w:rsid w:val="531B0BB1"/>
    <w:rsid w:val="532457D6"/>
    <w:rsid w:val="532634E5"/>
    <w:rsid w:val="532771FA"/>
    <w:rsid w:val="534F4564"/>
    <w:rsid w:val="53502CFB"/>
    <w:rsid w:val="535B2381"/>
    <w:rsid w:val="5362334E"/>
    <w:rsid w:val="53623D58"/>
    <w:rsid w:val="537118E2"/>
    <w:rsid w:val="537304F7"/>
    <w:rsid w:val="5373310E"/>
    <w:rsid w:val="53836593"/>
    <w:rsid w:val="538524CF"/>
    <w:rsid w:val="53925529"/>
    <w:rsid w:val="53974826"/>
    <w:rsid w:val="539D0D6F"/>
    <w:rsid w:val="539D6795"/>
    <w:rsid w:val="539F6DBD"/>
    <w:rsid w:val="53A24329"/>
    <w:rsid w:val="53E54D46"/>
    <w:rsid w:val="53FA6042"/>
    <w:rsid w:val="540074F6"/>
    <w:rsid w:val="540D0E61"/>
    <w:rsid w:val="54104754"/>
    <w:rsid w:val="541C3C0B"/>
    <w:rsid w:val="54227CFE"/>
    <w:rsid w:val="542B58D4"/>
    <w:rsid w:val="542C7055"/>
    <w:rsid w:val="54324B0A"/>
    <w:rsid w:val="543505B5"/>
    <w:rsid w:val="543F2D91"/>
    <w:rsid w:val="5442560B"/>
    <w:rsid w:val="54460A71"/>
    <w:rsid w:val="54505399"/>
    <w:rsid w:val="545728A2"/>
    <w:rsid w:val="54593845"/>
    <w:rsid w:val="547B2970"/>
    <w:rsid w:val="54866470"/>
    <w:rsid w:val="54897AB3"/>
    <w:rsid w:val="548F08CC"/>
    <w:rsid w:val="549410CA"/>
    <w:rsid w:val="54A54749"/>
    <w:rsid w:val="54C73437"/>
    <w:rsid w:val="54C97CDC"/>
    <w:rsid w:val="54D25EB5"/>
    <w:rsid w:val="54D74990"/>
    <w:rsid w:val="54F03FF7"/>
    <w:rsid w:val="54F13C94"/>
    <w:rsid w:val="55161D59"/>
    <w:rsid w:val="552D77D6"/>
    <w:rsid w:val="553028D2"/>
    <w:rsid w:val="55465E74"/>
    <w:rsid w:val="5547536F"/>
    <w:rsid w:val="5559327D"/>
    <w:rsid w:val="555C427D"/>
    <w:rsid w:val="55657ECC"/>
    <w:rsid w:val="556740A1"/>
    <w:rsid w:val="557D146D"/>
    <w:rsid w:val="559C7C68"/>
    <w:rsid w:val="55A9666A"/>
    <w:rsid w:val="55AB7A24"/>
    <w:rsid w:val="55B97520"/>
    <w:rsid w:val="55BF5709"/>
    <w:rsid w:val="55CE3227"/>
    <w:rsid w:val="55E07969"/>
    <w:rsid w:val="55E12D0E"/>
    <w:rsid w:val="55ED318A"/>
    <w:rsid w:val="55F80899"/>
    <w:rsid w:val="56126841"/>
    <w:rsid w:val="561557F3"/>
    <w:rsid w:val="56317884"/>
    <w:rsid w:val="563353CD"/>
    <w:rsid w:val="56355919"/>
    <w:rsid w:val="5636776E"/>
    <w:rsid w:val="564404EE"/>
    <w:rsid w:val="56486D1B"/>
    <w:rsid w:val="56577323"/>
    <w:rsid w:val="566F245E"/>
    <w:rsid w:val="56700FC8"/>
    <w:rsid w:val="567406D1"/>
    <w:rsid w:val="5679176A"/>
    <w:rsid w:val="567A2162"/>
    <w:rsid w:val="56A440B3"/>
    <w:rsid w:val="56B75C49"/>
    <w:rsid w:val="56BD0289"/>
    <w:rsid w:val="56D015C8"/>
    <w:rsid w:val="56DB7CFC"/>
    <w:rsid w:val="56E00A6C"/>
    <w:rsid w:val="56F65B31"/>
    <w:rsid w:val="56FF0A48"/>
    <w:rsid w:val="57041909"/>
    <w:rsid w:val="570E7E43"/>
    <w:rsid w:val="572525CA"/>
    <w:rsid w:val="57377544"/>
    <w:rsid w:val="573D35DB"/>
    <w:rsid w:val="573F0DE7"/>
    <w:rsid w:val="57452F9B"/>
    <w:rsid w:val="57461FF3"/>
    <w:rsid w:val="57607E88"/>
    <w:rsid w:val="5779221D"/>
    <w:rsid w:val="577E7D9D"/>
    <w:rsid w:val="5780229B"/>
    <w:rsid w:val="57851FA6"/>
    <w:rsid w:val="57996913"/>
    <w:rsid w:val="57A84DE0"/>
    <w:rsid w:val="57A87BDC"/>
    <w:rsid w:val="57AE489D"/>
    <w:rsid w:val="57C040B5"/>
    <w:rsid w:val="57D72ECC"/>
    <w:rsid w:val="57EC3BC5"/>
    <w:rsid w:val="57F76A6F"/>
    <w:rsid w:val="57F8565B"/>
    <w:rsid w:val="57FA5EC9"/>
    <w:rsid w:val="57FD6475"/>
    <w:rsid w:val="580F2173"/>
    <w:rsid w:val="58235601"/>
    <w:rsid w:val="583414A7"/>
    <w:rsid w:val="5840262B"/>
    <w:rsid w:val="585B2F03"/>
    <w:rsid w:val="585D3027"/>
    <w:rsid w:val="586E66A0"/>
    <w:rsid w:val="58770836"/>
    <w:rsid w:val="58782833"/>
    <w:rsid w:val="588A55DE"/>
    <w:rsid w:val="588B414B"/>
    <w:rsid w:val="588F6FE2"/>
    <w:rsid w:val="58A70ACF"/>
    <w:rsid w:val="58A7519D"/>
    <w:rsid w:val="58C56C94"/>
    <w:rsid w:val="58DD57F6"/>
    <w:rsid w:val="58DE4A2C"/>
    <w:rsid w:val="58E731D1"/>
    <w:rsid w:val="58FA4444"/>
    <w:rsid w:val="59161B96"/>
    <w:rsid w:val="592D7127"/>
    <w:rsid w:val="59344A9E"/>
    <w:rsid w:val="59353454"/>
    <w:rsid w:val="59462FFB"/>
    <w:rsid w:val="59490E71"/>
    <w:rsid w:val="594B3B45"/>
    <w:rsid w:val="594F124D"/>
    <w:rsid w:val="59540F1D"/>
    <w:rsid w:val="595D32C3"/>
    <w:rsid w:val="595E1386"/>
    <w:rsid w:val="59607919"/>
    <w:rsid w:val="59626AA1"/>
    <w:rsid w:val="597002DC"/>
    <w:rsid w:val="5970462D"/>
    <w:rsid w:val="59760CC7"/>
    <w:rsid w:val="598024E2"/>
    <w:rsid w:val="598F52F9"/>
    <w:rsid w:val="598F66D7"/>
    <w:rsid w:val="59AF2530"/>
    <w:rsid w:val="59D142D0"/>
    <w:rsid w:val="59D561B8"/>
    <w:rsid w:val="59D73B1D"/>
    <w:rsid w:val="59E85DFE"/>
    <w:rsid w:val="5A160FDB"/>
    <w:rsid w:val="5A223BD0"/>
    <w:rsid w:val="5A301B84"/>
    <w:rsid w:val="5A3B198D"/>
    <w:rsid w:val="5A59603F"/>
    <w:rsid w:val="5A78541E"/>
    <w:rsid w:val="5A82030A"/>
    <w:rsid w:val="5AA67FAC"/>
    <w:rsid w:val="5AA721BA"/>
    <w:rsid w:val="5ADC77A1"/>
    <w:rsid w:val="5ADD771F"/>
    <w:rsid w:val="5AEB1EF4"/>
    <w:rsid w:val="5AF27B3D"/>
    <w:rsid w:val="5B0A3A0F"/>
    <w:rsid w:val="5B1E4FB5"/>
    <w:rsid w:val="5B2A4585"/>
    <w:rsid w:val="5B363143"/>
    <w:rsid w:val="5B3F6E32"/>
    <w:rsid w:val="5B40122D"/>
    <w:rsid w:val="5B443DAF"/>
    <w:rsid w:val="5B466FB9"/>
    <w:rsid w:val="5B54223E"/>
    <w:rsid w:val="5B6803C7"/>
    <w:rsid w:val="5B710DEA"/>
    <w:rsid w:val="5B81051B"/>
    <w:rsid w:val="5B86380E"/>
    <w:rsid w:val="5B905244"/>
    <w:rsid w:val="5B946F86"/>
    <w:rsid w:val="5B9E7C03"/>
    <w:rsid w:val="5BAE1FF5"/>
    <w:rsid w:val="5BBA1969"/>
    <w:rsid w:val="5BBC630E"/>
    <w:rsid w:val="5BCC4E29"/>
    <w:rsid w:val="5BCF1729"/>
    <w:rsid w:val="5BD51A3D"/>
    <w:rsid w:val="5BE34E8E"/>
    <w:rsid w:val="5BEA1FCD"/>
    <w:rsid w:val="5BF764C6"/>
    <w:rsid w:val="5BFE03E8"/>
    <w:rsid w:val="5C094831"/>
    <w:rsid w:val="5C0F6B97"/>
    <w:rsid w:val="5C184F69"/>
    <w:rsid w:val="5C1961A7"/>
    <w:rsid w:val="5C2505F0"/>
    <w:rsid w:val="5C263BE3"/>
    <w:rsid w:val="5C3226B3"/>
    <w:rsid w:val="5C34733C"/>
    <w:rsid w:val="5C3B2CC7"/>
    <w:rsid w:val="5C4B687D"/>
    <w:rsid w:val="5C505C44"/>
    <w:rsid w:val="5C6022DC"/>
    <w:rsid w:val="5C8D7E9B"/>
    <w:rsid w:val="5C9241FC"/>
    <w:rsid w:val="5CA04CE4"/>
    <w:rsid w:val="5CB67906"/>
    <w:rsid w:val="5CB92EF3"/>
    <w:rsid w:val="5CBC53A1"/>
    <w:rsid w:val="5CC07D19"/>
    <w:rsid w:val="5CC47F35"/>
    <w:rsid w:val="5CC91849"/>
    <w:rsid w:val="5CDF24D1"/>
    <w:rsid w:val="5CE00560"/>
    <w:rsid w:val="5CE21763"/>
    <w:rsid w:val="5CF40796"/>
    <w:rsid w:val="5CF61950"/>
    <w:rsid w:val="5D053E5C"/>
    <w:rsid w:val="5D18131E"/>
    <w:rsid w:val="5D1D0195"/>
    <w:rsid w:val="5D1E2151"/>
    <w:rsid w:val="5D244FFA"/>
    <w:rsid w:val="5D2C3A4D"/>
    <w:rsid w:val="5D34151F"/>
    <w:rsid w:val="5D36754E"/>
    <w:rsid w:val="5D5A57AD"/>
    <w:rsid w:val="5D6564ED"/>
    <w:rsid w:val="5D66266F"/>
    <w:rsid w:val="5D6B2AE7"/>
    <w:rsid w:val="5D6F1470"/>
    <w:rsid w:val="5D741B3B"/>
    <w:rsid w:val="5D7C6E46"/>
    <w:rsid w:val="5D7E1B08"/>
    <w:rsid w:val="5D815B9F"/>
    <w:rsid w:val="5D894886"/>
    <w:rsid w:val="5D8C4E0A"/>
    <w:rsid w:val="5D9A1DE9"/>
    <w:rsid w:val="5D9D70AB"/>
    <w:rsid w:val="5D9E058D"/>
    <w:rsid w:val="5DAC4C7A"/>
    <w:rsid w:val="5DBF6494"/>
    <w:rsid w:val="5DC3004D"/>
    <w:rsid w:val="5DD95E82"/>
    <w:rsid w:val="5DF602CC"/>
    <w:rsid w:val="5DF86C27"/>
    <w:rsid w:val="5E1A4E74"/>
    <w:rsid w:val="5E2823DA"/>
    <w:rsid w:val="5E3E33BB"/>
    <w:rsid w:val="5E515A6C"/>
    <w:rsid w:val="5E5314AB"/>
    <w:rsid w:val="5E5B55EB"/>
    <w:rsid w:val="5E774A07"/>
    <w:rsid w:val="5E790E58"/>
    <w:rsid w:val="5E7A3F57"/>
    <w:rsid w:val="5E7B52A6"/>
    <w:rsid w:val="5E8F688E"/>
    <w:rsid w:val="5E907FD2"/>
    <w:rsid w:val="5E917B84"/>
    <w:rsid w:val="5E96123A"/>
    <w:rsid w:val="5E9A2211"/>
    <w:rsid w:val="5E9C2F25"/>
    <w:rsid w:val="5EA91D5E"/>
    <w:rsid w:val="5EAF096B"/>
    <w:rsid w:val="5EB47C89"/>
    <w:rsid w:val="5EC24B40"/>
    <w:rsid w:val="5ED07144"/>
    <w:rsid w:val="5EDF69B5"/>
    <w:rsid w:val="5EE246AF"/>
    <w:rsid w:val="5EE508BE"/>
    <w:rsid w:val="5EEB7DF1"/>
    <w:rsid w:val="5EF9023F"/>
    <w:rsid w:val="5F1C2F6F"/>
    <w:rsid w:val="5F1E497A"/>
    <w:rsid w:val="5F346FF3"/>
    <w:rsid w:val="5F3D3191"/>
    <w:rsid w:val="5F4D3B96"/>
    <w:rsid w:val="5F530DC3"/>
    <w:rsid w:val="5F555EB5"/>
    <w:rsid w:val="5F5B5609"/>
    <w:rsid w:val="5F7420BA"/>
    <w:rsid w:val="5F7932CC"/>
    <w:rsid w:val="5F7D6F1E"/>
    <w:rsid w:val="5F7E6945"/>
    <w:rsid w:val="5F7F4599"/>
    <w:rsid w:val="5F813CF0"/>
    <w:rsid w:val="5F83500A"/>
    <w:rsid w:val="5F9D4459"/>
    <w:rsid w:val="5F9F56E1"/>
    <w:rsid w:val="5FAF778D"/>
    <w:rsid w:val="5FBF6672"/>
    <w:rsid w:val="5FDA4A4D"/>
    <w:rsid w:val="600018C6"/>
    <w:rsid w:val="60033AAE"/>
    <w:rsid w:val="600A134D"/>
    <w:rsid w:val="600B4925"/>
    <w:rsid w:val="600C1871"/>
    <w:rsid w:val="60140FB0"/>
    <w:rsid w:val="6014572D"/>
    <w:rsid w:val="60184133"/>
    <w:rsid w:val="60290EC3"/>
    <w:rsid w:val="602C6773"/>
    <w:rsid w:val="603773D1"/>
    <w:rsid w:val="603A17DF"/>
    <w:rsid w:val="603B7E84"/>
    <w:rsid w:val="6045160D"/>
    <w:rsid w:val="604A703D"/>
    <w:rsid w:val="60502191"/>
    <w:rsid w:val="60644142"/>
    <w:rsid w:val="60727D04"/>
    <w:rsid w:val="607931F7"/>
    <w:rsid w:val="608F2E78"/>
    <w:rsid w:val="60996106"/>
    <w:rsid w:val="609A4B08"/>
    <w:rsid w:val="60A84C40"/>
    <w:rsid w:val="60B57885"/>
    <w:rsid w:val="60CB69C1"/>
    <w:rsid w:val="60D228F8"/>
    <w:rsid w:val="60E57CDA"/>
    <w:rsid w:val="60FA637A"/>
    <w:rsid w:val="61067593"/>
    <w:rsid w:val="61075CA3"/>
    <w:rsid w:val="611A6115"/>
    <w:rsid w:val="611C2A0D"/>
    <w:rsid w:val="611E5E26"/>
    <w:rsid w:val="612C4250"/>
    <w:rsid w:val="61322222"/>
    <w:rsid w:val="613A4DB0"/>
    <w:rsid w:val="613B65D0"/>
    <w:rsid w:val="61412C9E"/>
    <w:rsid w:val="61415861"/>
    <w:rsid w:val="614529FB"/>
    <w:rsid w:val="61535458"/>
    <w:rsid w:val="61544257"/>
    <w:rsid w:val="61576D51"/>
    <w:rsid w:val="61604688"/>
    <w:rsid w:val="61637E98"/>
    <w:rsid w:val="61760350"/>
    <w:rsid w:val="619B0447"/>
    <w:rsid w:val="61C3103F"/>
    <w:rsid w:val="61CE3805"/>
    <w:rsid w:val="61DD43D6"/>
    <w:rsid w:val="61E324A5"/>
    <w:rsid w:val="61ED6AAB"/>
    <w:rsid w:val="61F82D65"/>
    <w:rsid w:val="62261C95"/>
    <w:rsid w:val="622E40FB"/>
    <w:rsid w:val="62354FD2"/>
    <w:rsid w:val="62523A00"/>
    <w:rsid w:val="62596ED3"/>
    <w:rsid w:val="62661EDB"/>
    <w:rsid w:val="6268703C"/>
    <w:rsid w:val="62716509"/>
    <w:rsid w:val="62807687"/>
    <w:rsid w:val="6282574D"/>
    <w:rsid w:val="629F3534"/>
    <w:rsid w:val="629F7C6E"/>
    <w:rsid w:val="62A17EC2"/>
    <w:rsid w:val="62AF55A1"/>
    <w:rsid w:val="62B75D01"/>
    <w:rsid w:val="62C0403A"/>
    <w:rsid w:val="62D73032"/>
    <w:rsid w:val="63076D84"/>
    <w:rsid w:val="631D5768"/>
    <w:rsid w:val="631E222D"/>
    <w:rsid w:val="632002A5"/>
    <w:rsid w:val="63266B15"/>
    <w:rsid w:val="63276C41"/>
    <w:rsid w:val="633B1DB1"/>
    <w:rsid w:val="634C6F04"/>
    <w:rsid w:val="634F58F0"/>
    <w:rsid w:val="6351453C"/>
    <w:rsid w:val="6362073D"/>
    <w:rsid w:val="63870E4A"/>
    <w:rsid w:val="639A6A14"/>
    <w:rsid w:val="639F486B"/>
    <w:rsid w:val="63A82912"/>
    <w:rsid w:val="63AB41CE"/>
    <w:rsid w:val="63AE70E3"/>
    <w:rsid w:val="63AF725C"/>
    <w:rsid w:val="63BD0C43"/>
    <w:rsid w:val="63C05DCD"/>
    <w:rsid w:val="63C179EF"/>
    <w:rsid w:val="63CE3DAD"/>
    <w:rsid w:val="63CF583C"/>
    <w:rsid w:val="63E4712F"/>
    <w:rsid w:val="63E72CAB"/>
    <w:rsid w:val="63EA0151"/>
    <w:rsid w:val="63F15F68"/>
    <w:rsid w:val="63F54906"/>
    <w:rsid w:val="64217E1F"/>
    <w:rsid w:val="643222A1"/>
    <w:rsid w:val="64342605"/>
    <w:rsid w:val="64442991"/>
    <w:rsid w:val="64443A2B"/>
    <w:rsid w:val="644D06CE"/>
    <w:rsid w:val="64551F0B"/>
    <w:rsid w:val="645551D4"/>
    <w:rsid w:val="645F0570"/>
    <w:rsid w:val="6463413F"/>
    <w:rsid w:val="647E75B5"/>
    <w:rsid w:val="64954D48"/>
    <w:rsid w:val="6495763A"/>
    <w:rsid w:val="64BA0AB7"/>
    <w:rsid w:val="64C37916"/>
    <w:rsid w:val="64C4329A"/>
    <w:rsid w:val="64E056B6"/>
    <w:rsid w:val="64E22B40"/>
    <w:rsid w:val="64F258D0"/>
    <w:rsid w:val="64F6204C"/>
    <w:rsid w:val="6506053C"/>
    <w:rsid w:val="65176CAC"/>
    <w:rsid w:val="651D0391"/>
    <w:rsid w:val="652E1DE4"/>
    <w:rsid w:val="65302F12"/>
    <w:rsid w:val="65322B0A"/>
    <w:rsid w:val="653919EE"/>
    <w:rsid w:val="653B1801"/>
    <w:rsid w:val="653D6BD3"/>
    <w:rsid w:val="65461043"/>
    <w:rsid w:val="654A6A86"/>
    <w:rsid w:val="65616CC3"/>
    <w:rsid w:val="657F7588"/>
    <w:rsid w:val="658276F9"/>
    <w:rsid w:val="658F0577"/>
    <w:rsid w:val="65AF18EF"/>
    <w:rsid w:val="65B15658"/>
    <w:rsid w:val="65BC0577"/>
    <w:rsid w:val="65C93731"/>
    <w:rsid w:val="65D4160A"/>
    <w:rsid w:val="65D63638"/>
    <w:rsid w:val="65F71385"/>
    <w:rsid w:val="65FB65FC"/>
    <w:rsid w:val="660806FB"/>
    <w:rsid w:val="66100001"/>
    <w:rsid w:val="661F366E"/>
    <w:rsid w:val="66276824"/>
    <w:rsid w:val="66346B35"/>
    <w:rsid w:val="665B4467"/>
    <w:rsid w:val="665D7E5E"/>
    <w:rsid w:val="66673A6E"/>
    <w:rsid w:val="6669664C"/>
    <w:rsid w:val="66716DA1"/>
    <w:rsid w:val="66731426"/>
    <w:rsid w:val="667548A1"/>
    <w:rsid w:val="667941AD"/>
    <w:rsid w:val="66795896"/>
    <w:rsid w:val="668500F0"/>
    <w:rsid w:val="66873A0A"/>
    <w:rsid w:val="66A601AC"/>
    <w:rsid w:val="66A66514"/>
    <w:rsid w:val="66A940DB"/>
    <w:rsid w:val="66C60C7B"/>
    <w:rsid w:val="66CB3B46"/>
    <w:rsid w:val="66D458F9"/>
    <w:rsid w:val="66DF5269"/>
    <w:rsid w:val="66E23A0B"/>
    <w:rsid w:val="670B371C"/>
    <w:rsid w:val="67185E99"/>
    <w:rsid w:val="67203B1D"/>
    <w:rsid w:val="673832E7"/>
    <w:rsid w:val="674F0264"/>
    <w:rsid w:val="675065C1"/>
    <w:rsid w:val="6759649A"/>
    <w:rsid w:val="675D66FE"/>
    <w:rsid w:val="676357E0"/>
    <w:rsid w:val="67715AED"/>
    <w:rsid w:val="677B4E7E"/>
    <w:rsid w:val="67833315"/>
    <w:rsid w:val="679625BA"/>
    <w:rsid w:val="67996F12"/>
    <w:rsid w:val="679D2726"/>
    <w:rsid w:val="679E2C8B"/>
    <w:rsid w:val="67A55622"/>
    <w:rsid w:val="67AF4409"/>
    <w:rsid w:val="67C21899"/>
    <w:rsid w:val="67C35F6E"/>
    <w:rsid w:val="67C617B4"/>
    <w:rsid w:val="67DB2AF0"/>
    <w:rsid w:val="67DC7D66"/>
    <w:rsid w:val="67E245DA"/>
    <w:rsid w:val="67F66C94"/>
    <w:rsid w:val="67F94836"/>
    <w:rsid w:val="68022B09"/>
    <w:rsid w:val="680D163E"/>
    <w:rsid w:val="68107B8E"/>
    <w:rsid w:val="682901C2"/>
    <w:rsid w:val="68290671"/>
    <w:rsid w:val="682B0F76"/>
    <w:rsid w:val="68334EAA"/>
    <w:rsid w:val="68412DB3"/>
    <w:rsid w:val="685E4FD6"/>
    <w:rsid w:val="6869208A"/>
    <w:rsid w:val="68733E68"/>
    <w:rsid w:val="687C20D1"/>
    <w:rsid w:val="687F1293"/>
    <w:rsid w:val="68896176"/>
    <w:rsid w:val="68927E80"/>
    <w:rsid w:val="68956199"/>
    <w:rsid w:val="689C7FBA"/>
    <w:rsid w:val="68A01BC7"/>
    <w:rsid w:val="68A718EF"/>
    <w:rsid w:val="68A86127"/>
    <w:rsid w:val="68AC0C4A"/>
    <w:rsid w:val="68AD6480"/>
    <w:rsid w:val="68B34C46"/>
    <w:rsid w:val="68B525FC"/>
    <w:rsid w:val="68BF3935"/>
    <w:rsid w:val="68C877E1"/>
    <w:rsid w:val="68FE3869"/>
    <w:rsid w:val="68FE570F"/>
    <w:rsid w:val="6907129F"/>
    <w:rsid w:val="69122C3C"/>
    <w:rsid w:val="692D249D"/>
    <w:rsid w:val="694612C2"/>
    <w:rsid w:val="694C74CE"/>
    <w:rsid w:val="69512955"/>
    <w:rsid w:val="69596110"/>
    <w:rsid w:val="696B7D83"/>
    <w:rsid w:val="696F215D"/>
    <w:rsid w:val="696F7C73"/>
    <w:rsid w:val="697C7DA5"/>
    <w:rsid w:val="699C2751"/>
    <w:rsid w:val="699D2AEF"/>
    <w:rsid w:val="69B2204A"/>
    <w:rsid w:val="69BC5688"/>
    <w:rsid w:val="69BF5EC8"/>
    <w:rsid w:val="69D0012E"/>
    <w:rsid w:val="69F37A44"/>
    <w:rsid w:val="6A003223"/>
    <w:rsid w:val="6A0A1456"/>
    <w:rsid w:val="6A1664B1"/>
    <w:rsid w:val="6A201F56"/>
    <w:rsid w:val="6A257C5C"/>
    <w:rsid w:val="6A2C45BE"/>
    <w:rsid w:val="6A2C6EB0"/>
    <w:rsid w:val="6A3131B8"/>
    <w:rsid w:val="6A421FE5"/>
    <w:rsid w:val="6A4756CA"/>
    <w:rsid w:val="6A6A32FA"/>
    <w:rsid w:val="6A6B4738"/>
    <w:rsid w:val="6A765B81"/>
    <w:rsid w:val="6A812D4D"/>
    <w:rsid w:val="6A8C3798"/>
    <w:rsid w:val="6A9A3658"/>
    <w:rsid w:val="6A9C527F"/>
    <w:rsid w:val="6AA25882"/>
    <w:rsid w:val="6AA3527E"/>
    <w:rsid w:val="6AAD58A8"/>
    <w:rsid w:val="6ABE3B2D"/>
    <w:rsid w:val="6AC34041"/>
    <w:rsid w:val="6AE141BA"/>
    <w:rsid w:val="6AE61835"/>
    <w:rsid w:val="6AEA2492"/>
    <w:rsid w:val="6B093082"/>
    <w:rsid w:val="6B161BE2"/>
    <w:rsid w:val="6B163799"/>
    <w:rsid w:val="6B175DD7"/>
    <w:rsid w:val="6B1962B0"/>
    <w:rsid w:val="6B1D5FD6"/>
    <w:rsid w:val="6B1E6B98"/>
    <w:rsid w:val="6B21782D"/>
    <w:rsid w:val="6B2A1B9F"/>
    <w:rsid w:val="6B307237"/>
    <w:rsid w:val="6B37741A"/>
    <w:rsid w:val="6B397506"/>
    <w:rsid w:val="6B3F6C6C"/>
    <w:rsid w:val="6B457289"/>
    <w:rsid w:val="6B572AB9"/>
    <w:rsid w:val="6B580798"/>
    <w:rsid w:val="6B5A170F"/>
    <w:rsid w:val="6B761510"/>
    <w:rsid w:val="6B7D3DF4"/>
    <w:rsid w:val="6B8A7D7E"/>
    <w:rsid w:val="6B8D7062"/>
    <w:rsid w:val="6BAC25BC"/>
    <w:rsid w:val="6BB26551"/>
    <w:rsid w:val="6BB9116F"/>
    <w:rsid w:val="6BC71DE1"/>
    <w:rsid w:val="6BE33767"/>
    <w:rsid w:val="6BEA5629"/>
    <w:rsid w:val="6BF01224"/>
    <w:rsid w:val="6BF57327"/>
    <w:rsid w:val="6C0C7052"/>
    <w:rsid w:val="6C135DC9"/>
    <w:rsid w:val="6C2A3B9E"/>
    <w:rsid w:val="6C4F64B5"/>
    <w:rsid w:val="6C561CF4"/>
    <w:rsid w:val="6C6D1FED"/>
    <w:rsid w:val="6C786BE0"/>
    <w:rsid w:val="6C7F41AE"/>
    <w:rsid w:val="6C835930"/>
    <w:rsid w:val="6C906663"/>
    <w:rsid w:val="6CB5481C"/>
    <w:rsid w:val="6CBC47C5"/>
    <w:rsid w:val="6CBE30F2"/>
    <w:rsid w:val="6CC86331"/>
    <w:rsid w:val="6CD75EBE"/>
    <w:rsid w:val="6CF6647A"/>
    <w:rsid w:val="6D0234B2"/>
    <w:rsid w:val="6D0240E7"/>
    <w:rsid w:val="6D10640A"/>
    <w:rsid w:val="6D1B0E0A"/>
    <w:rsid w:val="6D1C490F"/>
    <w:rsid w:val="6D3D3855"/>
    <w:rsid w:val="6D413C64"/>
    <w:rsid w:val="6D436DBE"/>
    <w:rsid w:val="6D481F37"/>
    <w:rsid w:val="6D4D7847"/>
    <w:rsid w:val="6D510223"/>
    <w:rsid w:val="6D6A2A96"/>
    <w:rsid w:val="6D6D3796"/>
    <w:rsid w:val="6D6F471B"/>
    <w:rsid w:val="6D777236"/>
    <w:rsid w:val="6D796209"/>
    <w:rsid w:val="6D876940"/>
    <w:rsid w:val="6D9775F7"/>
    <w:rsid w:val="6DA85161"/>
    <w:rsid w:val="6DB20570"/>
    <w:rsid w:val="6DCB0A98"/>
    <w:rsid w:val="6DD10B89"/>
    <w:rsid w:val="6DE37466"/>
    <w:rsid w:val="6DE52587"/>
    <w:rsid w:val="6DE878C6"/>
    <w:rsid w:val="6DE94EEA"/>
    <w:rsid w:val="6DFD12A2"/>
    <w:rsid w:val="6DFF3239"/>
    <w:rsid w:val="6E100CEB"/>
    <w:rsid w:val="6E125795"/>
    <w:rsid w:val="6E1F61D8"/>
    <w:rsid w:val="6E2A125B"/>
    <w:rsid w:val="6E2B4F8F"/>
    <w:rsid w:val="6E3B515D"/>
    <w:rsid w:val="6E4B354F"/>
    <w:rsid w:val="6E523420"/>
    <w:rsid w:val="6E7D0909"/>
    <w:rsid w:val="6E8869C4"/>
    <w:rsid w:val="6E910B04"/>
    <w:rsid w:val="6E9563D8"/>
    <w:rsid w:val="6EAF69A4"/>
    <w:rsid w:val="6EB314F8"/>
    <w:rsid w:val="6EB741AD"/>
    <w:rsid w:val="6ECE3537"/>
    <w:rsid w:val="6ED36085"/>
    <w:rsid w:val="6ED4109D"/>
    <w:rsid w:val="6EDC769D"/>
    <w:rsid w:val="6EEB3C07"/>
    <w:rsid w:val="6EEE3D6D"/>
    <w:rsid w:val="6EF82D1A"/>
    <w:rsid w:val="6F1D3025"/>
    <w:rsid w:val="6F2D4A8B"/>
    <w:rsid w:val="6F2F50C3"/>
    <w:rsid w:val="6F31409C"/>
    <w:rsid w:val="6F394169"/>
    <w:rsid w:val="6F471FB1"/>
    <w:rsid w:val="6F4B730A"/>
    <w:rsid w:val="6F4C6E57"/>
    <w:rsid w:val="6F502D70"/>
    <w:rsid w:val="6F5E2E6E"/>
    <w:rsid w:val="6F5F071C"/>
    <w:rsid w:val="6F70340B"/>
    <w:rsid w:val="6F716D82"/>
    <w:rsid w:val="6F7F6FBA"/>
    <w:rsid w:val="6F926CA7"/>
    <w:rsid w:val="6FA940EC"/>
    <w:rsid w:val="6FCE2DEA"/>
    <w:rsid w:val="6FD6290B"/>
    <w:rsid w:val="6FD831D4"/>
    <w:rsid w:val="6FEA775C"/>
    <w:rsid w:val="6FF70BC7"/>
    <w:rsid w:val="700031FB"/>
    <w:rsid w:val="7006285C"/>
    <w:rsid w:val="700A3AB0"/>
    <w:rsid w:val="70114CEE"/>
    <w:rsid w:val="7028260E"/>
    <w:rsid w:val="7032736C"/>
    <w:rsid w:val="703768AA"/>
    <w:rsid w:val="70561FCE"/>
    <w:rsid w:val="705B10A9"/>
    <w:rsid w:val="70631236"/>
    <w:rsid w:val="707946A1"/>
    <w:rsid w:val="707B4FA3"/>
    <w:rsid w:val="708D3473"/>
    <w:rsid w:val="70920AC0"/>
    <w:rsid w:val="70980F78"/>
    <w:rsid w:val="709E041A"/>
    <w:rsid w:val="70B7787F"/>
    <w:rsid w:val="70C054C9"/>
    <w:rsid w:val="70C45E02"/>
    <w:rsid w:val="70C637F6"/>
    <w:rsid w:val="70DF009F"/>
    <w:rsid w:val="70E27E40"/>
    <w:rsid w:val="70F14ED4"/>
    <w:rsid w:val="70F42F66"/>
    <w:rsid w:val="70F95D8E"/>
    <w:rsid w:val="70FC55BC"/>
    <w:rsid w:val="71167EA5"/>
    <w:rsid w:val="71376636"/>
    <w:rsid w:val="713C24F9"/>
    <w:rsid w:val="71452815"/>
    <w:rsid w:val="714E05B4"/>
    <w:rsid w:val="715109E2"/>
    <w:rsid w:val="716C3B66"/>
    <w:rsid w:val="71812DDF"/>
    <w:rsid w:val="718203C8"/>
    <w:rsid w:val="718521D5"/>
    <w:rsid w:val="71860FCD"/>
    <w:rsid w:val="71886ADC"/>
    <w:rsid w:val="719053B9"/>
    <w:rsid w:val="71950C49"/>
    <w:rsid w:val="719D70C8"/>
    <w:rsid w:val="71C46243"/>
    <w:rsid w:val="71C957FF"/>
    <w:rsid w:val="71D06291"/>
    <w:rsid w:val="71D8576D"/>
    <w:rsid w:val="71DC38EA"/>
    <w:rsid w:val="71DD06A7"/>
    <w:rsid w:val="71DE0C0C"/>
    <w:rsid w:val="71DF525A"/>
    <w:rsid w:val="71F44E84"/>
    <w:rsid w:val="72054CD6"/>
    <w:rsid w:val="72073300"/>
    <w:rsid w:val="720C1E5D"/>
    <w:rsid w:val="72173E74"/>
    <w:rsid w:val="721B321D"/>
    <w:rsid w:val="723404F1"/>
    <w:rsid w:val="723D5802"/>
    <w:rsid w:val="723D65C1"/>
    <w:rsid w:val="724C79E6"/>
    <w:rsid w:val="72784961"/>
    <w:rsid w:val="7279741E"/>
    <w:rsid w:val="728052AC"/>
    <w:rsid w:val="72823EA4"/>
    <w:rsid w:val="72957AF8"/>
    <w:rsid w:val="7296744E"/>
    <w:rsid w:val="72A41B18"/>
    <w:rsid w:val="72B0033A"/>
    <w:rsid w:val="72CF4153"/>
    <w:rsid w:val="72DA63FB"/>
    <w:rsid w:val="72DE190E"/>
    <w:rsid w:val="72F662C5"/>
    <w:rsid w:val="72FA6A48"/>
    <w:rsid w:val="73010267"/>
    <w:rsid w:val="730C6E40"/>
    <w:rsid w:val="73126465"/>
    <w:rsid w:val="73285771"/>
    <w:rsid w:val="73372296"/>
    <w:rsid w:val="73385580"/>
    <w:rsid w:val="73394997"/>
    <w:rsid w:val="7340551D"/>
    <w:rsid w:val="73471D2C"/>
    <w:rsid w:val="73524DC0"/>
    <w:rsid w:val="73651863"/>
    <w:rsid w:val="736C1624"/>
    <w:rsid w:val="738767C7"/>
    <w:rsid w:val="73936E23"/>
    <w:rsid w:val="73A31A69"/>
    <w:rsid w:val="73B0291B"/>
    <w:rsid w:val="73B157C0"/>
    <w:rsid w:val="73B5166E"/>
    <w:rsid w:val="73BA2F38"/>
    <w:rsid w:val="73C572FE"/>
    <w:rsid w:val="73CC36F1"/>
    <w:rsid w:val="73D01944"/>
    <w:rsid w:val="73D72CB9"/>
    <w:rsid w:val="73E6690B"/>
    <w:rsid w:val="73F445CA"/>
    <w:rsid w:val="73FC2D87"/>
    <w:rsid w:val="7415480A"/>
    <w:rsid w:val="741C7D0C"/>
    <w:rsid w:val="741F4D58"/>
    <w:rsid w:val="742A0CB7"/>
    <w:rsid w:val="742C2525"/>
    <w:rsid w:val="742D3B85"/>
    <w:rsid w:val="744358E5"/>
    <w:rsid w:val="74441183"/>
    <w:rsid w:val="74530712"/>
    <w:rsid w:val="745A0015"/>
    <w:rsid w:val="746111AE"/>
    <w:rsid w:val="7461669B"/>
    <w:rsid w:val="74631FBB"/>
    <w:rsid w:val="74671DEA"/>
    <w:rsid w:val="747756F1"/>
    <w:rsid w:val="74A024E4"/>
    <w:rsid w:val="74AC632D"/>
    <w:rsid w:val="74AF2622"/>
    <w:rsid w:val="74B32145"/>
    <w:rsid w:val="74B904FD"/>
    <w:rsid w:val="74BD4582"/>
    <w:rsid w:val="74D37685"/>
    <w:rsid w:val="74E171A7"/>
    <w:rsid w:val="74E75E36"/>
    <w:rsid w:val="74EC1A99"/>
    <w:rsid w:val="74EC671B"/>
    <w:rsid w:val="74ED1939"/>
    <w:rsid w:val="74F05554"/>
    <w:rsid w:val="74F07C25"/>
    <w:rsid w:val="74F34A8E"/>
    <w:rsid w:val="74F715AA"/>
    <w:rsid w:val="74FF67B7"/>
    <w:rsid w:val="75056478"/>
    <w:rsid w:val="750959E9"/>
    <w:rsid w:val="75107E10"/>
    <w:rsid w:val="751779AC"/>
    <w:rsid w:val="75396A31"/>
    <w:rsid w:val="753B0061"/>
    <w:rsid w:val="75422778"/>
    <w:rsid w:val="7543074D"/>
    <w:rsid w:val="75456F20"/>
    <w:rsid w:val="755216EA"/>
    <w:rsid w:val="756A54CF"/>
    <w:rsid w:val="756C7BAB"/>
    <w:rsid w:val="75833D47"/>
    <w:rsid w:val="75907066"/>
    <w:rsid w:val="759404E4"/>
    <w:rsid w:val="75B70B40"/>
    <w:rsid w:val="75BB1335"/>
    <w:rsid w:val="75BB489C"/>
    <w:rsid w:val="75C3187F"/>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B57A7"/>
    <w:rsid w:val="76432C97"/>
    <w:rsid w:val="76442ED1"/>
    <w:rsid w:val="76445D72"/>
    <w:rsid w:val="764B5DA3"/>
    <w:rsid w:val="765F4A43"/>
    <w:rsid w:val="7664504A"/>
    <w:rsid w:val="76765962"/>
    <w:rsid w:val="768D1DA3"/>
    <w:rsid w:val="76991551"/>
    <w:rsid w:val="769A7B9D"/>
    <w:rsid w:val="769E4154"/>
    <w:rsid w:val="76A558A7"/>
    <w:rsid w:val="76B61BCF"/>
    <w:rsid w:val="76B7053B"/>
    <w:rsid w:val="76B729CB"/>
    <w:rsid w:val="76BD7CBC"/>
    <w:rsid w:val="76CC3D72"/>
    <w:rsid w:val="76D55BF8"/>
    <w:rsid w:val="76E4133C"/>
    <w:rsid w:val="76F0053E"/>
    <w:rsid w:val="76F507BA"/>
    <w:rsid w:val="76FF5159"/>
    <w:rsid w:val="77040594"/>
    <w:rsid w:val="770F344D"/>
    <w:rsid w:val="770F52B3"/>
    <w:rsid w:val="771515AF"/>
    <w:rsid w:val="773C1782"/>
    <w:rsid w:val="773F7564"/>
    <w:rsid w:val="77450C74"/>
    <w:rsid w:val="77493F5F"/>
    <w:rsid w:val="775B3D28"/>
    <w:rsid w:val="77601B0A"/>
    <w:rsid w:val="777010A5"/>
    <w:rsid w:val="77746C19"/>
    <w:rsid w:val="77891A47"/>
    <w:rsid w:val="778C58CD"/>
    <w:rsid w:val="778C5ADA"/>
    <w:rsid w:val="77960FDA"/>
    <w:rsid w:val="779B5E24"/>
    <w:rsid w:val="77A32E02"/>
    <w:rsid w:val="77A504F8"/>
    <w:rsid w:val="77A80847"/>
    <w:rsid w:val="77AC7C0B"/>
    <w:rsid w:val="77AD4B42"/>
    <w:rsid w:val="77B74370"/>
    <w:rsid w:val="77C50899"/>
    <w:rsid w:val="77D05D91"/>
    <w:rsid w:val="77E55202"/>
    <w:rsid w:val="77F209D9"/>
    <w:rsid w:val="78071301"/>
    <w:rsid w:val="780A1783"/>
    <w:rsid w:val="780F66C3"/>
    <w:rsid w:val="782C3C62"/>
    <w:rsid w:val="78373E22"/>
    <w:rsid w:val="783E232E"/>
    <w:rsid w:val="7848736F"/>
    <w:rsid w:val="784952E3"/>
    <w:rsid w:val="78543EBF"/>
    <w:rsid w:val="787D2FEB"/>
    <w:rsid w:val="787F223D"/>
    <w:rsid w:val="78814F84"/>
    <w:rsid w:val="78830A28"/>
    <w:rsid w:val="78831A92"/>
    <w:rsid w:val="788567F8"/>
    <w:rsid w:val="788E274D"/>
    <w:rsid w:val="789310C4"/>
    <w:rsid w:val="78977B66"/>
    <w:rsid w:val="78A339EA"/>
    <w:rsid w:val="78AC315E"/>
    <w:rsid w:val="78CC6408"/>
    <w:rsid w:val="78E4024E"/>
    <w:rsid w:val="78F57089"/>
    <w:rsid w:val="78FD4264"/>
    <w:rsid w:val="78FD5263"/>
    <w:rsid w:val="790A54A4"/>
    <w:rsid w:val="790B6C77"/>
    <w:rsid w:val="791A435B"/>
    <w:rsid w:val="79207221"/>
    <w:rsid w:val="792C5E5B"/>
    <w:rsid w:val="792E4C88"/>
    <w:rsid w:val="79335469"/>
    <w:rsid w:val="794158FF"/>
    <w:rsid w:val="7942661A"/>
    <w:rsid w:val="794600B0"/>
    <w:rsid w:val="795D0F8F"/>
    <w:rsid w:val="79813367"/>
    <w:rsid w:val="799D5AFC"/>
    <w:rsid w:val="79B147EB"/>
    <w:rsid w:val="79B244B3"/>
    <w:rsid w:val="79C51781"/>
    <w:rsid w:val="79CF354E"/>
    <w:rsid w:val="79D129D2"/>
    <w:rsid w:val="79D91B90"/>
    <w:rsid w:val="79DA14B8"/>
    <w:rsid w:val="79EB410B"/>
    <w:rsid w:val="79EE3450"/>
    <w:rsid w:val="79F1254C"/>
    <w:rsid w:val="79FF1033"/>
    <w:rsid w:val="7A0770DC"/>
    <w:rsid w:val="7A1308C1"/>
    <w:rsid w:val="7A151E8D"/>
    <w:rsid w:val="7A1B3A8C"/>
    <w:rsid w:val="7A332E20"/>
    <w:rsid w:val="7A3953DF"/>
    <w:rsid w:val="7A3F161D"/>
    <w:rsid w:val="7A413D8D"/>
    <w:rsid w:val="7A556932"/>
    <w:rsid w:val="7A632261"/>
    <w:rsid w:val="7A64770B"/>
    <w:rsid w:val="7A68455E"/>
    <w:rsid w:val="7A6A71D8"/>
    <w:rsid w:val="7A740AC1"/>
    <w:rsid w:val="7A8829A3"/>
    <w:rsid w:val="7A9A64BA"/>
    <w:rsid w:val="7AA43A7A"/>
    <w:rsid w:val="7AC657C3"/>
    <w:rsid w:val="7ACD21F2"/>
    <w:rsid w:val="7AD67F2E"/>
    <w:rsid w:val="7AEB5870"/>
    <w:rsid w:val="7AF36583"/>
    <w:rsid w:val="7AF872FB"/>
    <w:rsid w:val="7AFA698C"/>
    <w:rsid w:val="7AFD6305"/>
    <w:rsid w:val="7B0705AD"/>
    <w:rsid w:val="7B182DDD"/>
    <w:rsid w:val="7B1F0E15"/>
    <w:rsid w:val="7B355656"/>
    <w:rsid w:val="7B3B41D0"/>
    <w:rsid w:val="7B3F00E3"/>
    <w:rsid w:val="7B427F3E"/>
    <w:rsid w:val="7B497B7A"/>
    <w:rsid w:val="7B5109C7"/>
    <w:rsid w:val="7B51619D"/>
    <w:rsid w:val="7B6631CB"/>
    <w:rsid w:val="7B67271C"/>
    <w:rsid w:val="7B6D017E"/>
    <w:rsid w:val="7B701819"/>
    <w:rsid w:val="7B88352D"/>
    <w:rsid w:val="7B8F21E1"/>
    <w:rsid w:val="7B9558F3"/>
    <w:rsid w:val="7B9C7CD7"/>
    <w:rsid w:val="7B9F3CD9"/>
    <w:rsid w:val="7B9F40C4"/>
    <w:rsid w:val="7BA909FD"/>
    <w:rsid w:val="7BAA3C71"/>
    <w:rsid w:val="7BAB51D9"/>
    <w:rsid w:val="7BBD40C8"/>
    <w:rsid w:val="7BD4124F"/>
    <w:rsid w:val="7BD5699D"/>
    <w:rsid w:val="7BDB24C9"/>
    <w:rsid w:val="7BE86FD9"/>
    <w:rsid w:val="7BF30DE7"/>
    <w:rsid w:val="7BF721FA"/>
    <w:rsid w:val="7BFE5B01"/>
    <w:rsid w:val="7C111F3A"/>
    <w:rsid w:val="7C1F671C"/>
    <w:rsid w:val="7C2241A2"/>
    <w:rsid w:val="7C246FA8"/>
    <w:rsid w:val="7C2F6948"/>
    <w:rsid w:val="7C3E3E6A"/>
    <w:rsid w:val="7C4B3FF9"/>
    <w:rsid w:val="7C540886"/>
    <w:rsid w:val="7C727D5E"/>
    <w:rsid w:val="7C8B5A89"/>
    <w:rsid w:val="7C8F55C4"/>
    <w:rsid w:val="7C9603F6"/>
    <w:rsid w:val="7CA95C84"/>
    <w:rsid w:val="7CBB2CF1"/>
    <w:rsid w:val="7CBD55FA"/>
    <w:rsid w:val="7CBE2D79"/>
    <w:rsid w:val="7CC97C1E"/>
    <w:rsid w:val="7CCF4482"/>
    <w:rsid w:val="7CD14842"/>
    <w:rsid w:val="7CEC5581"/>
    <w:rsid w:val="7CF70E3D"/>
    <w:rsid w:val="7CFE4F30"/>
    <w:rsid w:val="7D047561"/>
    <w:rsid w:val="7D0F50F8"/>
    <w:rsid w:val="7D23425F"/>
    <w:rsid w:val="7D235434"/>
    <w:rsid w:val="7D275420"/>
    <w:rsid w:val="7D291B09"/>
    <w:rsid w:val="7D302C17"/>
    <w:rsid w:val="7D3924E1"/>
    <w:rsid w:val="7D43677B"/>
    <w:rsid w:val="7D68519D"/>
    <w:rsid w:val="7D782E7E"/>
    <w:rsid w:val="7D861EFD"/>
    <w:rsid w:val="7D964828"/>
    <w:rsid w:val="7D96540C"/>
    <w:rsid w:val="7DA8106A"/>
    <w:rsid w:val="7DD42D1F"/>
    <w:rsid w:val="7DD665F7"/>
    <w:rsid w:val="7DD70A02"/>
    <w:rsid w:val="7DDE6569"/>
    <w:rsid w:val="7DE70879"/>
    <w:rsid w:val="7DEE548C"/>
    <w:rsid w:val="7DF03ECC"/>
    <w:rsid w:val="7DF7725F"/>
    <w:rsid w:val="7E0F58A2"/>
    <w:rsid w:val="7E193E1D"/>
    <w:rsid w:val="7E234B61"/>
    <w:rsid w:val="7E316E6D"/>
    <w:rsid w:val="7E5356E3"/>
    <w:rsid w:val="7E537896"/>
    <w:rsid w:val="7E572BA0"/>
    <w:rsid w:val="7E6913DD"/>
    <w:rsid w:val="7E703424"/>
    <w:rsid w:val="7E74535B"/>
    <w:rsid w:val="7E753B11"/>
    <w:rsid w:val="7E935BDC"/>
    <w:rsid w:val="7E996534"/>
    <w:rsid w:val="7EB8247A"/>
    <w:rsid w:val="7ED122C0"/>
    <w:rsid w:val="7EF40E5F"/>
    <w:rsid w:val="7EF572BF"/>
    <w:rsid w:val="7F153307"/>
    <w:rsid w:val="7F166206"/>
    <w:rsid w:val="7F17138E"/>
    <w:rsid w:val="7F1A5B96"/>
    <w:rsid w:val="7F1B77FA"/>
    <w:rsid w:val="7F1D3E66"/>
    <w:rsid w:val="7F3F55B9"/>
    <w:rsid w:val="7F44396E"/>
    <w:rsid w:val="7F4F4612"/>
    <w:rsid w:val="7F577C9A"/>
    <w:rsid w:val="7F587BFA"/>
    <w:rsid w:val="7F683717"/>
    <w:rsid w:val="7F6A4D14"/>
    <w:rsid w:val="7F812FBC"/>
    <w:rsid w:val="7F9A69D0"/>
    <w:rsid w:val="7FAB1C02"/>
    <w:rsid w:val="7FC172D0"/>
    <w:rsid w:val="7FD73242"/>
    <w:rsid w:val="7FD77DD9"/>
    <w:rsid w:val="7FD82DA2"/>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1"/>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2"/>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3"/>
    <w:unhideWhenUsed/>
    <w:qFormat/>
    <w:uiPriority w:val="9"/>
    <w:pPr>
      <w:numPr>
        <w:ilvl w:val="2"/>
      </w:numPr>
      <w:outlineLvl w:val="2"/>
    </w:pPr>
  </w:style>
  <w:style w:type="paragraph" w:styleId="5">
    <w:name w:val="heading 4"/>
    <w:basedOn w:val="4"/>
    <w:next w:val="1"/>
    <w:link w:val="174"/>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5"/>
    <w:qFormat/>
    <w:uiPriority w:val="0"/>
    <w:pPr>
      <w:numPr>
        <w:ilvl w:val="4"/>
      </w:numPr>
      <w:spacing w:beforeLines="50"/>
      <w:outlineLvl w:val="4"/>
    </w:pPr>
    <w:rPr>
      <w:sz w:val="24"/>
      <w:szCs w:val="24"/>
    </w:rPr>
  </w:style>
  <w:style w:type="paragraph" w:styleId="7">
    <w:name w:val="heading 6"/>
    <w:basedOn w:val="1"/>
    <w:next w:val="1"/>
    <w:link w:val="176"/>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7"/>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78"/>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79"/>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Date"/>
    <w:basedOn w:val="1"/>
    <w:next w:val="1"/>
    <w:unhideWhenUsed/>
    <w:qFormat/>
    <w:uiPriority w:val="99"/>
    <w:pPr>
      <w:ind w:left="100"/>
    </w:pPr>
  </w:style>
  <w:style w:type="paragraph" w:styleId="22">
    <w:name w:val="Balloon Text"/>
    <w:basedOn w:val="1"/>
    <w:unhideWhenUsed/>
    <w:qFormat/>
    <w:uiPriority w:val="99"/>
    <w:rPr>
      <w:rFonts w:ascii="Tahoma" w:hAnsi="Tahoma"/>
      <w:sz w:val="16"/>
      <w:szCs w:val="16"/>
    </w:rPr>
  </w:style>
  <w:style w:type="paragraph" w:styleId="23">
    <w:name w:val="footer"/>
    <w:basedOn w:val="1"/>
    <w:link w:val="161"/>
    <w:unhideWhenUsed/>
    <w:qFormat/>
    <w:uiPriority w:val="99"/>
    <w:pPr>
      <w:tabs>
        <w:tab w:val="center" w:pos="4153"/>
        <w:tab w:val="right" w:pos="8306"/>
      </w:tabs>
      <w:snapToGrid w:val="0"/>
    </w:pPr>
    <w:rPr>
      <w:sz w:val="18"/>
      <w:szCs w:val="18"/>
    </w:rPr>
  </w:style>
  <w:style w:type="paragraph" w:styleId="24">
    <w:name w:val="header"/>
    <w:basedOn w:val="1"/>
    <w:link w:val="160"/>
    <w:qFormat/>
    <w:uiPriority w:val="99"/>
    <w:pPr>
      <w:pBdr>
        <w:bottom w:val="single" w:color="auto" w:sz="6" w:space="1"/>
      </w:pBdr>
      <w:tabs>
        <w:tab w:val="center" w:pos="4153"/>
        <w:tab w:val="right" w:pos="8306"/>
      </w:tabs>
      <w:snapToGrid w:val="0"/>
      <w:jc w:val="center"/>
    </w:pPr>
    <w:rPr>
      <w:sz w:val="18"/>
      <w:szCs w:val="18"/>
    </w:rPr>
  </w:style>
  <w:style w:type="paragraph" w:styleId="25">
    <w:name w:val="table of figures"/>
    <w:basedOn w:val="1"/>
    <w:next w:val="1"/>
    <w:unhideWhenUsed/>
    <w:qFormat/>
    <w:uiPriority w:val="99"/>
    <w:rPr>
      <w:rFonts w:eastAsia="宋体"/>
      <w:szCs w:val="20"/>
      <w:lang w:val="en-GB" w:eastAsia="en-US"/>
    </w:rPr>
  </w:style>
  <w:style w:type="paragraph" w:styleId="26">
    <w:name w:val="HTML Preformatted"/>
    <w:basedOn w:val="1"/>
    <w:link w:val="19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7">
    <w:name w:val="Normal (Web)"/>
    <w:basedOn w:val="1"/>
    <w:unhideWhenUsed/>
    <w:qFormat/>
    <w:uiPriority w:val="99"/>
    <w:rPr>
      <w:rFonts w:ascii="宋体" w:hAnsi="宋体" w:cs="宋体"/>
    </w:rPr>
  </w:style>
  <w:style w:type="paragraph" w:styleId="28">
    <w:name w:val="annotation subject"/>
    <w:basedOn w:val="15"/>
    <w:next w:val="15"/>
    <w:unhideWhenUsed/>
    <w:qFormat/>
    <w:uiPriority w:val="99"/>
    <w:rPr>
      <w:b/>
      <w:bCs/>
    </w:rPr>
  </w:style>
  <w:style w:type="table" w:styleId="30">
    <w:name w:val="Table Grid"/>
    <w:basedOn w:val="2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unhideWhenUsed/>
    <w:qFormat/>
    <w:uiPriority w:val="99"/>
    <w:rPr>
      <w:sz w:val="24"/>
    </w:rPr>
  </w:style>
  <w:style w:type="character" w:styleId="34">
    <w:name w:val="FollowedHyperlink"/>
    <w:basedOn w:val="31"/>
    <w:semiHidden/>
    <w:unhideWhenUsed/>
    <w:qFormat/>
    <w:uiPriority w:val="99"/>
    <w:rPr>
      <w:color w:val="800080" w:themeColor="followedHyperlink"/>
      <w:u w:val="single"/>
      <w14:textFill>
        <w14:solidFill>
          <w14:schemeClr w14:val="folHlink"/>
        </w14:solidFill>
      </w14:textFill>
    </w:rPr>
  </w:style>
  <w:style w:type="character" w:styleId="35">
    <w:name w:val="Emphasis"/>
    <w:basedOn w:val="31"/>
    <w:qFormat/>
    <w:uiPriority w:val="20"/>
    <w:rPr>
      <w:i/>
    </w:rPr>
  </w:style>
  <w:style w:type="character" w:styleId="36">
    <w:name w:val="Hyperlink"/>
    <w:unhideWhenUsed/>
    <w:qFormat/>
    <w:uiPriority w:val="99"/>
    <w:rPr>
      <w:color w:val="0000FF"/>
      <w:u w:val="single"/>
    </w:rPr>
  </w:style>
  <w:style w:type="character" w:styleId="37">
    <w:name w:val="annotation reference"/>
    <w:unhideWhenUsed/>
    <w:qFormat/>
    <w:uiPriority w:val="99"/>
    <w:rPr>
      <w:sz w:val="16"/>
      <w:szCs w:val="16"/>
    </w:rPr>
  </w:style>
  <w:style w:type="paragraph" w:customStyle="1" w:styleId="38">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39">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0">
    <w:name w:val="标题 31"/>
    <w:basedOn w:val="39"/>
    <w:next w:val="1"/>
    <w:unhideWhenUsed/>
    <w:qFormat/>
    <w:uiPriority w:val="9"/>
    <w:pPr>
      <w:numPr>
        <w:ilvl w:val="2"/>
      </w:numPr>
      <w:outlineLvl w:val="2"/>
    </w:pPr>
  </w:style>
  <w:style w:type="paragraph" w:customStyle="1" w:styleId="41">
    <w:name w:val="标题 41"/>
    <w:basedOn w:val="40"/>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2">
    <w:name w:val="标题 51"/>
    <w:basedOn w:val="41"/>
    <w:next w:val="1"/>
    <w:qFormat/>
    <w:uiPriority w:val="0"/>
    <w:pPr>
      <w:numPr>
        <w:ilvl w:val="4"/>
      </w:numPr>
      <w:outlineLvl w:val="4"/>
    </w:pPr>
    <w:rPr>
      <w:sz w:val="24"/>
      <w:szCs w:val="24"/>
    </w:rPr>
  </w:style>
  <w:style w:type="paragraph" w:customStyle="1" w:styleId="43">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4">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5">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6">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7">
    <w:name w:val="Caption Char"/>
    <w:link w:val="48"/>
    <w:qFormat/>
    <w:uiPriority w:val="0"/>
    <w:rPr>
      <w:rFonts w:ascii="Tahoma" w:hAnsi="Tahoma" w:cs="Tahoma"/>
      <w:sz w:val="16"/>
      <w:szCs w:val="16"/>
    </w:rPr>
  </w:style>
  <w:style w:type="paragraph" w:customStyle="1" w:styleId="48">
    <w:name w:val="목록 단락1"/>
    <w:basedOn w:val="1"/>
    <w:link w:val="47"/>
    <w:qFormat/>
    <w:uiPriority w:val="0"/>
    <w:pPr>
      <w:spacing w:beforeAutospacing="1" w:afterAutospacing="1"/>
      <w:ind w:left="840"/>
    </w:pPr>
    <w:rPr>
      <w:rFonts w:ascii="Times" w:hAnsi="Times" w:eastAsia="Batang" w:cs="Times"/>
    </w:rPr>
  </w:style>
  <w:style w:type="character" w:customStyle="1" w:styleId="49">
    <w:name w:val="标题 1 Char"/>
    <w:qFormat/>
    <w:uiPriority w:val="99"/>
    <w:rPr>
      <w:rFonts w:ascii="Arial" w:hAnsi="Arial" w:eastAsia="黑体"/>
      <w:b/>
      <w:bCs/>
      <w:sz w:val="30"/>
      <w:szCs w:val="30"/>
      <w:lang w:val="zh-CN"/>
    </w:rPr>
  </w:style>
  <w:style w:type="character" w:customStyle="1" w:styleId="50">
    <w:name w:val="Comment Text Char"/>
    <w:qFormat/>
    <w:uiPriority w:val="99"/>
    <w:rPr>
      <w:rFonts w:ascii="Arial" w:hAnsi="Arial" w:eastAsia="MS Mincho"/>
      <w:b/>
      <w:szCs w:val="24"/>
      <w:lang w:eastAsia="en-US"/>
    </w:rPr>
  </w:style>
  <w:style w:type="character" w:customStyle="1" w:styleId="51">
    <w:name w:val="Body Text Char"/>
    <w:basedOn w:val="31"/>
    <w:qFormat/>
    <w:uiPriority w:val="0"/>
  </w:style>
  <w:style w:type="character" w:customStyle="1" w:styleId="52">
    <w:name w:val="Body Text Indent Char"/>
    <w:semiHidden/>
    <w:qFormat/>
    <w:uiPriority w:val="99"/>
    <w:rPr>
      <w:b/>
      <w:bCs/>
    </w:rPr>
  </w:style>
  <w:style w:type="character" w:customStyle="1" w:styleId="53">
    <w:name w:val="Plain Text Char"/>
    <w:link w:val="54"/>
    <w:qFormat/>
    <w:uiPriority w:val="99"/>
    <w:rPr>
      <w:rFonts w:ascii="宋体" w:hAnsi="宋体"/>
      <w:sz w:val="18"/>
      <w:szCs w:val="18"/>
    </w:rPr>
  </w:style>
  <w:style w:type="paragraph" w:customStyle="1" w:styleId="54">
    <w:name w:val="正文2"/>
    <w:link w:val="5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5">
    <w:name w:val="Date Char"/>
    <w:qFormat/>
    <w:uiPriority w:val="99"/>
    <w:rPr>
      <w:rFonts w:ascii="Times New Roman" w:hAnsi="Times New Roman"/>
      <w:color w:val="0000FF"/>
      <w:kern w:val="2"/>
      <w:sz w:val="21"/>
    </w:rPr>
  </w:style>
  <w:style w:type="character" w:customStyle="1" w:styleId="56">
    <w:name w:val="Balloon Text Char"/>
    <w:qFormat/>
    <w:uiPriority w:val="99"/>
    <w:rPr>
      <w:rFonts w:ascii="Times New Roman" w:hAnsi="Times New Roman"/>
      <w:b/>
      <w:bCs/>
      <w:lang w:val="en-GB" w:eastAsia="sv-SE"/>
    </w:rPr>
  </w:style>
  <w:style w:type="character" w:customStyle="1" w:styleId="57">
    <w:name w:val="Footer Char"/>
    <w:qFormat/>
    <w:uiPriority w:val="99"/>
    <w:rPr>
      <w:sz w:val="18"/>
      <w:szCs w:val="18"/>
    </w:rPr>
  </w:style>
  <w:style w:type="character" w:customStyle="1" w:styleId="58">
    <w:name w:val="标题 2 Char"/>
    <w:qFormat/>
    <w:uiPriority w:val="0"/>
    <w:rPr>
      <w:rFonts w:ascii="Cambria" w:hAnsi="Cambria" w:eastAsiaTheme="minorEastAsia"/>
      <w:sz w:val="32"/>
      <w:szCs w:val="32"/>
    </w:rPr>
  </w:style>
  <w:style w:type="character" w:customStyle="1" w:styleId="59">
    <w:name w:val="标题 3 Char"/>
    <w:qFormat/>
    <w:uiPriority w:val="9"/>
    <w:rPr>
      <w:rFonts w:ascii="Cambria" w:hAnsi="Cambria" w:eastAsiaTheme="minorEastAsia"/>
      <w:sz w:val="32"/>
      <w:szCs w:val="32"/>
    </w:rPr>
  </w:style>
  <w:style w:type="character" w:customStyle="1" w:styleId="60">
    <w:name w:val="z-窗体顶端 Char"/>
    <w:semiHidden/>
    <w:qFormat/>
    <w:uiPriority w:val="99"/>
    <w:rPr>
      <w:rFonts w:ascii="Arial" w:hAnsi="Arial" w:cs="Arial"/>
      <w:vanish/>
      <w:sz w:val="16"/>
      <w:szCs w:val="16"/>
    </w:rPr>
  </w:style>
  <w:style w:type="character" w:customStyle="1" w:styleId="61">
    <w:name w:val="hps"/>
    <w:basedOn w:val="31"/>
    <w:qFormat/>
    <w:uiPriority w:val="0"/>
  </w:style>
  <w:style w:type="character" w:customStyle="1" w:styleId="62">
    <w:name w:val="z-窗体底端 Char"/>
    <w:semiHidden/>
    <w:qFormat/>
    <w:uiPriority w:val="99"/>
    <w:rPr>
      <w:rFonts w:ascii="Arial" w:hAnsi="Arial" w:cs="Arial"/>
      <w:vanish/>
      <w:sz w:val="16"/>
      <w:szCs w:val="16"/>
    </w:rPr>
  </w:style>
  <w:style w:type="character" w:customStyle="1" w:styleId="63">
    <w:name w:val="Header Char"/>
    <w:qFormat/>
    <w:uiPriority w:val="99"/>
    <w:rPr>
      <w:sz w:val="22"/>
      <w:szCs w:val="22"/>
    </w:rPr>
  </w:style>
  <w:style w:type="character" w:customStyle="1" w:styleId="64">
    <w:name w:val="short_text"/>
    <w:basedOn w:val="31"/>
    <w:qFormat/>
    <w:uiPriority w:val="0"/>
  </w:style>
  <w:style w:type="character" w:customStyle="1" w:styleId="65">
    <w:name w:val="Comment Subject Char"/>
    <w:qFormat/>
    <w:uiPriority w:val="99"/>
    <w:rPr>
      <w:rFonts w:eastAsia="Calibri"/>
      <w:sz w:val="22"/>
      <w:szCs w:val="21"/>
      <w:lang w:val="en-GB" w:eastAsia="en-US"/>
    </w:rPr>
  </w:style>
  <w:style w:type="character" w:customStyle="1" w:styleId="66">
    <w:name w:val="Heading 4 Char"/>
    <w:qFormat/>
    <w:uiPriority w:val="0"/>
    <w:rPr>
      <w:sz w:val="28"/>
      <w:szCs w:val="28"/>
      <w:lang w:val="en-GB"/>
    </w:rPr>
  </w:style>
  <w:style w:type="character" w:customStyle="1" w:styleId="67">
    <w:name w:val="Heading 5 Char"/>
    <w:qFormat/>
    <w:uiPriority w:val="0"/>
    <w:rPr>
      <w:sz w:val="24"/>
      <w:szCs w:val="24"/>
      <w:lang w:val="en-GB"/>
    </w:rPr>
  </w:style>
  <w:style w:type="character" w:customStyle="1" w:styleId="68">
    <w:name w:val="apple-converted-space"/>
    <w:basedOn w:val="31"/>
    <w:qFormat/>
    <w:uiPriority w:val="0"/>
  </w:style>
  <w:style w:type="character" w:customStyle="1" w:styleId="69">
    <w:name w:val="列出段落 Char"/>
    <w:qFormat/>
    <w:locked/>
    <w:uiPriority w:val="34"/>
    <w:rPr>
      <w:rFonts w:ascii="Times New Roman" w:hAnsi="Times New Roman"/>
      <w:kern w:val="2"/>
      <w:sz w:val="21"/>
      <w:szCs w:val="24"/>
    </w:rPr>
  </w:style>
  <w:style w:type="character" w:customStyle="1" w:styleId="70">
    <w:name w:val="keyword"/>
    <w:basedOn w:val="31"/>
    <w:qFormat/>
    <w:uiPriority w:val="0"/>
  </w:style>
  <w:style w:type="character" w:customStyle="1" w:styleId="71">
    <w:name w:val="Doc-text2 Char"/>
    <w:qFormat/>
    <w:uiPriority w:val="0"/>
    <w:rPr>
      <w:rFonts w:ascii="Arial" w:hAnsi="Arial" w:eastAsia="MS Mincho"/>
      <w:szCs w:val="24"/>
      <w:lang w:val="en-GB" w:eastAsia="en-GB"/>
    </w:rPr>
  </w:style>
  <w:style w:type="character" w:customStyle="1" w:styleId="72">
    <w:name w:val="正文文本缩进 Char"/>
    <w:basedOn w:val="31"/>
    <w:semiHidden/>
    <w:qFormat/>
    <w:uiPriority w:val="99"/>
    <w:rPr>
      <w:sz w:val="22"/>
      <w:szCs w:val="22"/>
    </w:rPr>
  </w:style>
  <w:style w:type="character" w:customStyle="1" w:styleId="73">
    <w:name w:val="main text Char"/>
    <w:qFormat/>
    <w:uiPriority w:val="0"/>
    <w:rPr>
      <w:rFonts w:ascii="Times New Roman" w:hAnsi="Times New Roman" w:eastAsia="Malgun Gothic"/>
      <w:lang w:val="en-GB" w:eastAsia="ko-KR"/>
    </w:rPr>
  </w:style>
  <w:style w:type="character" w:customStyle="1" w:styleId="74">
    <w:name w:val="样式 正文缩进d + 首行缩进:  2 字符 段前: 0.35 行 Char"/>
    <w:qFormat/>
    <w:uiPriority w:val="0"/>
    <w:rPr>
      <w:rFonts w:ascii="Times New Roman" w:hAnsi="Times New Roman" w:eastAsia="KaiTi_GB2312"/>
      <w:sz w:val="28"/>
    </w:rPr>
  </w:style>
  <w:style w:type="character" w:customStyle="1" w:styleId="75">
    <w:name w:val="TAH Car"/>
    <w:qFormat/>
    <w:uiPriority w:val="0"/>
    <w:rPr>
      <w:rFonts w:ascii="Arial" w:hAnsi="Arial"/>
      <w:b/>
      <w:sz w:val="18"/>
      <w:lang w:val="en-GB" w:eastAsia="en-US"/>
    </w:rPr>
  </w:style>
  <w:style w:type="character" w:customStyle="1" w:styleId="76">
    <w:name w:val="B1 (文字)"/>
    <w:qFormat/>
    <w:locked/>
    <w:uiPriority w:val="0"/>
    <w:rPr>
      <w:rFonts w:ascii="Calibri" w:hAnsi="Calibri" w:eastAsiaTheme="minorEastAsia"/>
      <w:sz w:val="22"/>
      <w:szCs w:val="22"/>
    </w:rPr>
  </w:style>
  <w:style w:type="character" w:customStyle="1" w:styleId="77">
    <w:name w:val="normaltextrun"/>
    <w:qFormat/>
    <w:uiPriority w:val="0"/>
  </w:style>
  <w:style w:type="character" w:customStyle="1" w:styleId="78">
    <w:name w:val="spellingerror"/>
    <w:qFormat/>
    <w:uiPriority w:val="0"/>
  </w:style>
  <w:style w:type="character" w:customStyle="1" w:styleId="79">
    <w:name w:val="10"/>
    <w:basedOn w:val="31"/>
    <w:qFormat/>
    <w:uiPriority w:val="0"/>
    <w:rPr>
      <w:rFonts w:ascii="Times New Roman" w:hAnsi="Times New Roman" w:cs="Times New Roman"/>
    </w:rPr>
  </w:style>
  <w:style w:type="character" w:customStyle="1" w:styleId="80">
    <w:name w:val="15"/>
    <w:basedOn w:val="31"/>
    <w:qFormat/>
    <w:uiPriority w:val="0"/>
    <w:rPr>
      <w:rFonts w:ascii="Times New Roman" w:hAnsi="Times New Roman" w:cs="Times New Roman"/>
    </w:rPr>
  </w:style>
  <w:style w:type="character" w:customStyle="1" w:styleId="81">
    <w:name w:val="000_proposal Char"/>
    <w:basedOn w:val="31"/>
    <w:qFormat/>
    <w:uiPriority w:val="0"/>
    <w:rPr>
      <w:b/>
      <w:bCs/>
      <w:i/>
      <w:iCs/>
      <w:szCs w:val="24"/>
    </w:rPr>
  </w:style>
  <w:style w:type="character" w:customStyle="1" w:styleId="82">
    <w:name w:val="3GPP Agreements Char"/>
    <w:qFormat/>
    <w:uiPriority w:val="0"/>
    <w:rPr>
      <w:rFonts w:ascii="Calibri" w:hAnsi="Calibri" w:eastAsiaTheme="minorEastAsia"/>
      <w:sz w:val="22"/>
      <w:szCs w:val="22"/>
    </w:rPr>
  </w:style>
  <w:style w:type="character" w:customStyle="1" w:styleId="83">
    <w:name w:val="Heading 6 Char"/>
    <w:basedOn w:val="31"/>
    <w:semiHidden/>
    <w:qFormat/>
    <w:uiPriority w:val="9"/>
    <w:rPr>
      <w:rFonts w:asciiTheme="majorHAnsi" w:hAnsiTheme="majorHAnsi" w:eastAsiaTheme="majorEastAsia" w:cstheme="majorBidi"/>
      <w:b/>
      <w:bCs/>
      <w:sz w:val="24"/>
      <w:szCs w:val="24"/>
    </w:rPr>
  </w:style>
  <w:style w:type="character" w:customStyle="1" w:styleId="84">
    <w:name w:val="Heading 7 Char"/>
    <w:basedOn w:val="31"/>
    <w:semiHidden/>
    <w:qFormat/>
    <w:uiPriority w:val="9"/>
    <w:rPr>
      <w:rFonts w:ascii="Calibri" w:hAnsi="Calibri"/>
      <w:b/>
      <w:bCs/>
      <w:sz w:val="24"/>
      <w:szCs w:val="24"/>
    </w:rPr>
  </w:style>
  <w:style w:type="character" w:customStyle="1" w:styleId="85">
    <w:name w:val="Heading 8 Char"/>
    <w:basedOn w:val="31"/>
    <w:semiHidden/>
    <w:qFormat/>
    <w:uiPriority w:val="9"/>
    <w:rPr>
      <w:rFonts w:asciiTheme="majorHAnsi" w:hAnsiTheme="majorHAnsi" w:eastAsiaTheme="majorEastAsia" w:cstheme="majorBidi"/>
      <w:sz w:val="24"/>
      <w:szCs w:val="24"/>
    </w:rPr>
  </w:style>
  <w:style w:type="character" w:customStyle="1" w:styleId="86">
    <w:name w:val="Heading 9 Char"/>
    <w:basedOn w:val="31"/>
    <w:semiHidden/>
    <w:qFormat/>
    <w:uiPriority w:val="9"/>
    <w:rPr>
      <w:rFonts w:asciiTheme="majorHAnsi" w:hAnsiTheme="majorHAnsi" w:eastAsiaTheme="majorEastAsia" w:cstheme="majorBidi"/>
      <w:sz w:val="21"/>
      <w:szCs w:val="21"/>
    </w:rPr>
  </w:style>
  <w:style w:type="character" w:customStyle="1" w:styleId="87">
    <w:name w:val="TAL Car"/>
    <w:qFormat/>
    <w:uiPriority w:val="0"/>
    <w:rPr>
      <w:rFonts w:ascii="Arial" w:hAnsi="Arial" w:eastAsiaTheme="minorEastAsia"/>
      <w:sz w:val="18"/>
      <w:szCs w:val="22"/>
    </w:rPr>
  </w:style>
  <w:style w:type="character" w:customStyle="1" w:styleId="88">
    <w:name w:val="TH Char"/>
    <w:qFormat/>
    <w:uiPriority w:val="0"/>
    <w:rPr>
      <w:rFonts w:ascii="Arial" w:hAnsi="Arial" w:eastAsiaTheme="minorEastAsia"/>
      <w:b/>
      <w:lang w:val="en-GB" w:eastAsia="en-US"/>
    </w:rPr>
  </w:style>
  <w:style w:type="character" w:customStyle="1" w:styleId="89">
    <w:name w:val="列出段落 Char1"/>
    <w:qFormat/>
    <w:locked/>
    <w:uiPriority w:val="34"/>
    <w:rPr>
      <w:sz w:val="22"/>
      <w:lang w:eastAsia="ja-JP"/>
    </w:rPr>
  </w:style>
  <w:style w:type="character" w:customStyle="1" w:styleId="90">
    <w:name w:val="TAC Char"/>
    <w:qFormat/>
    <w:uiPriority w:val="0"/>
    <w:rPr>
      <w:rFonts w:ascii="Arial" w:hAnsi="Arial" w:eastAsiaTheme="minorEastAsia"/>
      <w:sz w:val="18"/>
      <w:lang w:val="en-GB" w:eastAsia="en-US"/>
    </w:rPr>
  </w:style>
  <w:style w:type="character" w:customStyle="1" w:styleId="91">
    <w:name w:val="未处理的提及1"/>
    <w:basedOn w:val="31"/>
    <w:semiHidden/>
    <w:unhideWhenUsed/>
    <w:qFormat/>
    <w:uiPriority w:val="99"/>
    <w:rPr>
      <w:color w:val="605E5C"/>
      <w:shd w:val="clear" w:color="auto" w:fill="E1DFDD"/>
    </w:rPr>
  </w:style>
  <w:style w:type="character" w:customStyle="1" w:styleId="92">
    <w:name w:val="Mention1"/>
    <w:basedOn w:val="31"/>
    <w:unhideWhenUsed/>
    <w:qFormat/>
    <w:uiPriority w:val="99"/>
    <w:rPr>
      <w:color w:val="2B579A"/>
      <w:shd w:val="clear" w:color="auto" w:fill="E1DFDD"/>
    </w:rPr>
  </w:style>
  <w:style w:type="character" w:customStyle="1" w:styleId="93">
    <w:name w:val="Unresolved Mention1"/>
    <w:basedOn w:val="31"/>
    <w:semiHidden/>
    <w:unhideWhenUsed/>
    <w:qFormat/>
    <w:uiPriority w:val="99"/>
    <w:rPr>
      <w:color w:val="605E5C"/>
      <w:shd w:val="clear" w:color="auto" w:fill="E1DFDD"/>
    </w:rPr>
  </w:style>
  <w:style w:type="character" w:customStyle="1" w:styleId="94">
    <w:name w:val="HTML Preformatted Char"/>
    <w:basedOn w:val="31"/>
    <w:semiHidden/>
    <w:qFormat/>
    <w:uiPriority w:val="99"/>
    <w:rPr>
      <w:rFonts w:ascii="宋体" w:hAnsi="宋体" w:cs="宋体"/>
      <w:sz w:val="24"/>
      <w:szCs w:val="24"/>
    </w:rPr>
  </w:style>
  <w:style w:type="character" w:customStyle="1" w:styleId="95">
    <w:name w:val="y2iqfc"/>
    <w:basedOn w:val="31"/>
    <w:qFormat/>
    <w:uiPriority w:val="0"/>
  </w:style>
  <w:style w:type="character" w:customStyle="1" w:styleId="96">
    <w:name w:val="Document Map Char"/>
    <w:qFormat/>
    <w:uiPriority w:val="99"/>
    <w:rPr>
      <w:rFonts w:ascii="宋体" w:hAnsi="宋体"/>
      <w:sz w:val="18"/>
      <w:szCs w:val="18"/>
    </w:rPr>
  </w:style>
  <w:style w:type="character" w:customStyle="1" w:styleId="97">
    <w:name w:val="16"/>
    <w:basedOn w:val="31"/>
    <w:qFormat/>
    <w:uiPriority w:val="0"/>
    <w:rPr>
      <w:rFonts w:ascii="CG Times (WN)" w:hAnsi="CG Times (WN)"/>
      <w:color w:val="0000FF"/>
      <w:u w:val="single"/>
    </w:rPr>
  </w:style>
  <w:style w:type="character" w:customStyle="1" w:styleId="98">
    <w:name w:val="3GPP Text Char"/>
    <w:qFormat/>
    <w:uiPriority w:val="0"/>
    <w:rPr>
      <w:rFonts w:eastAsia="宋体"/>
      <w:sz w:val="22"/>
      <w:szCs w:val="22"/>
    </w:rPr>
  </w:style>
  <w:style w:type="character" w:customStyle="1" w:styleId="99">
    <w:name w:val="未处理的提及2"/>
    <w:basedOn w:val="31"/>
    <w:semiHidden/>
    <w:unhideWhenUsed/>
    <w:qFormat/>
    <w:uiPriority w:val="99"/>
    <w:rPr>
      <w:color w:val="605E5C"/>
      <w:shd w:val="clear" w:color="auto" w:fill="E1DFDD"/>
    </w:rPr>
  </w:style>
  <w:style w:type="paragraph" w:customStyle="1" w:styleId="100">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1">
    <w:name w:val="题注1"/>
    <w:basedOn w:val="1"/>
    <w:qFormat/>
    <w:uiPriority w:val="0"/>
    <w:pPr>
      <w:suppressLineNumbers/>
      <w:spacing w:before="120" w:after="120"/>
    </w:pPr>
    <w:rPr>
      <w:rFonts w:cs="Lohit Devanagari"/>
      <w:i/>
      <w:iCs/>
    </w:rPr>
  </w:style>
  <w:style w:type="paragraph" w:customStyle="1" w:styleId="102">
    <w:name w:val="Index"/>
    <w:basedOn w:val="1"/>
    <w:qFormat/>
    <w:uiPriority w:val="0"/>
    <w:pPr>
      <w:suppressLineNumbers/>
    </w:pPr>
    <w:rPr>
      <w:rFonts w:cs="Lohit Devanagari"/>
    </w:rPr>
  </w:style>
  <w:style w:type="paragraph" w:customStyle="1" w:styleId="103">
    <w:name w:val="Header and Footer"/>
    <w:basedOn w:val="1"/>
    <w:qFormat/>
    <w:uiPriority w:val="0"/>
  </w:style>
  <w:style w:type="paragraph" w:customStyle="1" w:styleId="104">
    <w:name w:val="页脚1"/>
    <w:basedOn w:val="1"/>
    <w:unhideWhenUsed/>
    <w:qFormat/>
    <w:uiPriority w:val="99"/>
    <w:pPr>
      <w:tabs>
        <w:tab w:val="center" w:pos="4153"/>
        <w:tab w:val="right" w:pos="8306"/>
      </w:tabs>
      <w:snapToGrid w:val="0"/>
    </w:pPr>
    <w:rPr>
      <w:sz w:val="18"/>
      <w:szCs w:val="18"/>
    </w:rPr>
  </w:style>
  <w:style w:type="paragraph" w:customStyle="1" w:styleId="105">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6">
    <w:name w:val="列出段落2"/>
    <w:basedOn w:val="1"/>
    <w:qFormat/>
    <w:uiPriority w:val="99"/>
    <w:pPr>
      <w:ind w:firstLine="420"/>
    </w:pPr>
  </w:style>
  <w:style w:type="paragraph" w:customStyle="1" w:styleId="107">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08">
    <w:name w:val="List Paragraph1"/>
    <w:basedOn w:val="1"/>
    <w:qFormat/>
    <w:uiPriority w:val="34"/>
    <w:pPr>
      <w:ind w:firstLine="420"/>
      <w:jc w:val="both"/>
    </w:pPr>
    <w:rPr>
      <w:kern w:val="2"/>
      <w:sz w:val="21"/>
    </w:rPr>
  </w:style>
  <w:style w:type="paragraph" w:customStyle="1" w:styleId="109">
    <w:name w:val="TAH"/>
    <w:basedOn w:val="110"/>
    <w:qFormat/>
    <w:uiPriority w:val="0"/>
    <w:rPr>
      <w:b/>
    </w:rPr>
  </w:style>
  <w:style w:type="paragraph" w:customStyle="1" w:styleId="110">
    <w:name w:val="TAC"/>
    <w:basedOn w:val="111"/>
    <w:qFormat/>
    <w:uiPriority w:val="0"/>
    <w:pPr>
      <w:jc w:val="center"/>
    </w:pPr>
    <w:rPr>
      <w:szCs w:val="20"/>
      <w:lang w:val="en-GB" w:eastAsia="en-US"/>
    </w:rPr>
  </w:style>
  <w:style w:type="paragraph" w:customStyle="1" w:styleId="111">
    <w:name w:val="TAL"/>
    <w:basedOn w:val="1"/>
    <w:qFormat/>
    <w:uiPriority w:val="0"/>
    <w:pPr>
      <w:keepNext/>
      <w:keepLines/>
    </w:pPr>
    <w:rPr>
      <w:rFonts w:ascii="Arial" w:hAnsi="Arial"/>
      <w:sz w:val="18"/>
    </w:rPr>
  </w:style>
  <w:style w:type="paragraph" w:customStyle="1" w:styleId="112">
    <w:name w:val="000_proposal"/>
    <w:basedOn w:val="113"/>
    <w:qFormat/>
    <w:uiPriority w:val="0"/>
    <w:rPr>
      <w:b/>
      <w:bCs/>
      <w:i/>
      <w:iCs/>
      <w:sz w:val="20"/>
    </w:rPr>
  </w:style>
  <w:style w:type="paragraph" w:customStyle="1" w:styleId="113">
    <w:name w:val="00_Text"/>
    <w:basedOn w:val="1"/>
    <w:qFormat/>
    <w:uiPriority w:val="0"/>
    <w:pPr>
      <w:spacing w:before="120" w:after="120" w:line="264" w:lineRule="auto"/>
      <w:jc w:val="both"/>
    </w:pPr>
    <w:rPr>
      <w:rFonts w:eastAsia="宋体"/>
    </w:rPr>
  </w:style>
  <w:style w:type="paragraph" w:customStyle="1" w:styleId="114">
    <w:name w:val="3GPP Agreements"/>
    <w:basedOn w:val="1"/>
    <w:qFormat/>
    <w:uiPriority w:val="0"/>
    <w:pPr>
      <w:spacing w:before="60" w:after="60"/>
      <w:jc w:val="both"/>
    </w:pPr>
  </w:style>
  <w:style w:type="paragraph" w:customStyle="1" w:styleId="11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6">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7">
    <w:name w:val="表格文字居左"/>
    <w:basedOn w:val="1"/>
    <w:next w:val="1"/>
    <w:qFormat/>
    <w:uiPriority w:val="0"/>
    <w:pPr>
      <w:jc w:val="both"/>
    </w:pPr>
    <w:rPr>
      <w:rFonts w:ascii="Arial" w:hAnsi="Arial" w:cs="宋体"/>
      <w:kern w:val="2"/>
      <w:sz w:val="21"/>
      <w:szCs w:val="20"/>
    </w:rPr>
  </w:style>
  <w:style w:type="paragraph" w:customStyle="1" w:styleId="118">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19">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0">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1">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2">
    <w:name w:val="tablecell"/>
    <w:basedOn w:val="1"/>
    <w:qFormat/>
    <w:uiPriority w:val="0"/>
    <w:pPr>
      <w:snapToGrid w:val="0"/>
      <w:spacing w:before="40" w:after="40"/>
    </w:pPr>
    <w:rPr>
      <w:sz w:val="20"/>
      <w:lang w:eastAsia="en-US"/>
    </w:rPr>
  </w:style>
  <w:style w:type="paragraph" w:customStyle="1" w:styleId="123">
    <w:name w:val="tableheader"/>
    <w:basedOn w:val="1"/>
    <w:qFormat/>
    <w:uiPriority w:val="0"/>
    <w:pPr>
      <w:snapToGrid w:val="0"/>
      <w:spacing w:before="40" w:after="40"/>
      <w:jc w:val="center"/>
    </w:pPr>
    <w:rPr>
      <w:rFonts w:cs="Calibri"/>
      <w:b/>
      <w:bCs/>
      <w:color w:val="000000"/>
      <w:sz w:val="20"/>
      <w:lang w:eastAsia="en-US"/>
    </w:rPr>
  </w:style>
  <w:style w:type="paragraph" w:customStyle="1" w:styleId="124">
    <w:name w:val="TAN"/>
    <w:basedOn w:val="1"/>
    <w:qFormat/>
    <w:uiPriority w:val="0"/>
    <w:pPr>
      <w:keepNext/>
      <w:keepLines/>
      <w:ind w:left="851" w:hanging="851"/>
    </w:pPr>
    <w:rPr>
      <w:rFonts w:ascii="Arial" w:hAnsi="Arial"/>
      <w:sz w:val="18"/>
      <w:szCs w:val="20"/>
      <w:lang w:val="en-GB" w:eastAsia="en-US"/>
    </w:rPr>
  </w:style>
  <w:style w:type="paragraph" w:customStyle="1" w:styleId="12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6">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7">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28">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29">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0">
    <w:name w:val="B2"/>
    <w:basedOn w:val="16"/>
    <w:qFormat/>
    <w:uiPriority w:val="0"/>
    <w:pPr>
      <w:spacing w:after="180"/>
      <w:ind w:left="851" w:hanging="284"/>
    </w:pPr>
    <w:rPr>
      <w:rFonts w:eastAsia="MS Mincho"/>
      <w:sz w:val="20"/>
      <w:szCs w:val="20"/>
      <w:lang w:val="en-GB" w:eastAsia="en-US"/>
    </w:rPr>
  </w:style>
  <w:style w:type="paragraph" w:customStyle="1" w:styleId="131">
    <w:name w:val="B3"/>
    <w:basedOn w:val="11"/>
    <w:qFormat/>
    <w:uiPriority w:val="0"/>
    <w:pPr>
      <w:spacing w:after="180"/>
      <w:ind w:left="1135" w:hanging="284"/>
    </w:pPr>
    <w:rPr>
      <w:rFonts w:eastAsia="MS Mincho"/>
      <w:sz w:val="20"/>
      <w:szCs w:val="20"/>
      <w:lang w:val="en-GB" w:eastAsia="en-US"/>
    </w:rPr>
  </w:style>
  <w:style w:type="paragraph" w:customStyle="1" w:styleId="132">
    <w:name w:val="_Style 1"/>
    <w:basedOn w:val="1"/>
    <w:qFormat/>
    <w:uiPriority w:val="34"/>
    <w:pPr>
      <w:ind w:left="840"/>
    </w:pPr>
  </w:style>
  <w:style w:type="paragraph" w:customStyle="1" w:styleId="133">
    <w:name w:val="列出段落1"/>
    <w:basedOn w:val="1"/>
    <w:qFormat/>
    <w:uiPriority w:val="34"/>
    <w:pPr>
      <w:ind w:firstLine="420"/>
      <w:jc w:val="both"/>
    </w:pPr>
    <w:rPr>
      <w:kern w:val="2"/>
      <w:sz w:val="21"/>
    </w:rPr>
  </w:style>
  <w:style w:type="paragraph" w:customStyle="1" w:styleId="134">
    <w:name w:val="B1"/>
    <w:basedOn w:val="17"/>
    <w:link w:val="166"/>
    <w:qFormat/>
    <w:uiPriority w:val="0"/>
  </w:style>
  <w:style w:type="paragraph" w:customStyle="1" w:styleId="135">
    <w:name w:val="EQ"/>
    <w:basedOn w:val="1"/>
    <w:next w:val="1"/>
    <w:unhideWhenUsed/>
    <w:qFormat/>
    <w:uiPriority w:val="0"/>
    <w:pPr>
      <w:keepLines/>
      <w:tabs>
        <w:tab w:val="center" w:pos="4536"/>
        <w:tab w:val="right" w:pos="9072"/>
      </w:tabs>
    </w:pPr>
  </w:style>
  <w:style w:type="paragraph" w:customStyle="1" w:styleId="136">
    <w:name w:val="List Paragraph2"/>
    <w:basedOn w:val="1"/>
    <w:qFormat/>
    <w:uiPriority w:val="99"/>
    <w:pPr>
      <w:ind w:firstLine="420"/>
    </w:pPr>
  </w:style>
  <w:style w:type="paragraph" w:customStyle="1" w:styleId="137">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38">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39">
    <w:name w:val="List Paragraph"/>
    <w:basedOn w:val="1"/>
    <w:link w:val="165"/>
    <w:qFormat/>
    <w:uiPriority w:val="34"/>
    <w:pPr>
      <w:spacing w:after="180"/>
      <w:ind w:left="720"/>
      <w:contextualSpacing/>
      <w:textAlignment w:val="baseline"/>
    </w:pPr>
    <w:rPr>
      <w:rFonts w:eastAsia="宋体"/>
      <w:szCs w:val="20"/>
      <w:lang w:eastAsia="ja-JP"/>
    </w:rPr>
  </w:style>
  <w:style w:type="paragraph" w:customStyle="1" w:styleId="140">
    <w:name w:val="TAL+B1"/>
    <w:basedOn w:val="111"/>
    <w:qFormat/>
    <w:uiPriority w:val="0"/>
    <w:pPr>
      <w:spacing w:beforeAutospacing="1"/>
      <w:ind w:left="284"/>
    </w:pPr>
    <w:rPr>
      <w:szCs w:val="18"/>
    </w:rPr>
  </w:style>
  <w:style w:type="paragraph" w:customStyle="1" w:styleId="141">
    <w:name w:val="TAL+B2"/>
    <w:basedOn w:val="140"/>
    <w:qFormat/>
    <w:uiPriority w:val="0"/>
    <w:pPr>
      <w:ind w:left="568"/>
    </w:pPr>
  </w:style>
  <w:style w:type="paragraph" w:customStyle="1" w:styleId="142">
    <w:name w:val="TAL+B3"/>
    <w:basedOn w:val="141"/>
    <w:qFormat/>
    <w:uiPriority w:val="0"/>
    <w:pPr>
      <w:ind w:left="852"/>
    </w:pPr>
  </w:style>
  <w:style w:type="paragraph" w:customStyle="1" w:styleId="143">
    <w:name w:val="TAL+B4"/>
    <w:basedOn w:val="142"/>
    <w:qFormat/>
    <w:uiPriority w:val="0"/>
    <w:pPr>
      <w:ind w:left="1136"/>
    </w:pPr>
  </w:style>
  <w:style w:type="paragraph" w:customStyle="1" w:styleId="144">
    <w:name w:val="3GPP Text"/>
    <w:basedOn w:val="1"/>
    <w:qFormat/>
    <w:uiPriority w:val="0"/>
    <w:pPr>
      <w:spacing w:before="120" w:after="120" w:line="252" w:lineRule="auto"/>
      <w:jc w:val="both"/>
      <w:textAlignment w:val="baseline"/>
    </w:pPr>
    <w:rPr>
      <w:rFonts w:eastAsia="宋体"/>
    </w:rPr>
  </w:style>
  <w:style w:type="paragraph" w:customStyle="1" w:styleId="145">
    <w:name w:val="EmailDiscussion2"/>
    <w:basedOn w:val="1"/>
    <w:qFormat/>
    <w:uiPriority w:val="0"/>
    <w:pPr>
      <w:spacing w:afterAutospacing="1"/>
      <w:ind w:left="1622" w:hanging="363"/>
    </w:pPr>
    <w:rPr>
      <w:rFonts w:ascii="Arial" w:hAnsi="Arial" w:eastAsia="MS Mincho"/>
    </w:rPr>
  </w:style>
  <w:style w:type="paragraph" w:customStyle="1" w:styleId="146">
    <w:name w:val="EmailDiscussion"/>
    <w:basedOn w:val="1"/>
    <w:next w:val="145"/>
    <w:qFormat/>
    <w:uiPriority w:val="0"/>
    <w:pPr>
      <w:spacing w:before="40" w:afterAutospacing="1"/>
      <w:ind w:left="1619" w:hanging="360"/>
    </w:pPr>
    <w:rPr>
      <w:rFonts w:ascii="Arial" w:hAnsi="Arial" w:eastAsia="MS Mincho"/>
      <w:b/>
      <w:bCs/>
    </w:rPr>
  </w:style>
  <w:style w:type="paragraph" w:customStyle="1" w:styleId="147">
    <w:name w:val="List Paragraph3"/>
    <w:basedOn w:val="1"/>
    <w:qFormat/>
    <w:uiPriority w:val="0"/>
    <w:pPr>
      <w:spacing w:beforeAutospacing="1" w:after="180"/>
      <w:ind w:left="720"/>
      <w:contextualSpacing/>
      <w:textAlignment w:val="baseline"/>
    </w:pPr>
    <w:rPr>
      <w:rFonts w:eastAsia="宋体"/>
    </w:rPr>
  </w:style>
  <w:style w:type="paragraph" w:customStyle="1" w:styleId="148">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49">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0">
    <w:name w:val="TF"/>
    <w:basedOn w:val="115"/>
    <w:qFormat/>
    <w:uiPriority w:val="0"/>
    <w:pPr>
      <w:keepNext w:val="0"/>
      <w:spacing w:before="0" w:after="240"/>
    </w:pPr>
    <w:rPr>
      <w:rFonts w:eastAsia="Malgun Gothic"/>
      <w:bCs/>
      <w:sz w:val="24"/>
      <w:szCs w:val="24"/>
      <w:lang w:val="en-US" w:eastAsia="zh-CN"/>
    </w:rPr>
  </w:style>
  <w:style w:type="paragraph" w:customStyle="1" w:styleId="151">
    <w:name w:val="NO"/>
    <w:basedOn w:val="1"/>
    <w:qFormat/>
    <w:uiPriority w:val="0"/>
    <w:pPr>
      <w:keepLines/>
      <w:spacing w:after="180"/>
      <w:ind w:left="1135" w:hanging="851"/>
    </w:pPr>
    <w:rPr>
      <w:rFonts w:eastAsia="Malgun Gothic"/>
      <w:sz w:val="20"/>
      <w:szCs w:val="20"/>
      <w:lang w:val="en-GB" w:eastAsia="en-US"/>
    </w:rPr>
  </w:style>
  <w:style w:type="paragraph" w:customStyle="1" w:styleId="152">
    <w:name w:val="Proposal"/>
    <w:basedOn w:val="18"/>
    <w:qFormat/>
    <w:uiPriority w:val="0"/>
    <w:pPr>
      <w:tabs>
        <w:tab w:val="left" w:pos="1701"/>
      </w:tabs>
      <w:spacing w:after="120"/>
    </w:pPr>
    <w:rPr>
      <w:rFonts w:ascii="Arial" w:hAnsi="Arial" w:cstheme="minorBidi"/>
      <w:b/>
      <w:bCs/>
      <w:color w:val="auto"/>
      <w:szCs w:val="22"/>
    </w:rPr>
  </w:style>
  <w:style w:type="paragraph" w:customStyle="1" w:styleId="153">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4">
    <w:name w:val="Frame Contents"/>
    <w:basedOn w:val="1"/>
    <w:qFormat/>
    <w:uiPriority w:val="0"/>
  </w:style>
  <w:style w:type="paragraph" w:customStyle="1" w:styleId="155">
    <w:name w:val="列出段落3"/>
    <w:basedOn w:val="1"/>
    <w:qFormat/>
    <w:uiPriority w:val="0"/>
    <w:pPr>
      <w:ind w:firstLine="420"/>
    </w:pPr>
    <w:rPr>
      <w:rFonts w:ascii="宋体" w:hAnsi="宋体" w:eastAsia="宋体" w:cs="宋体"/>
    </w:rPr>
  </w:style>
  <w:style w:type="table" w:customStyle="1" w:styleId="156">
    <w:name w:val="网格型1"/>
    <w:basedOn w:val="29"/>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表 5 深色 - 着色 31"/>
    <w:basedOn w:val="29"/>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58">
    <w:name w:val="Grid Table 5 Dark - Accent 31"/>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59">
    <w:name w:val="网格表 5 深色 - 着色 32"/>
    <w:basedOn w:val="2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0">
    <w:name w:val="Header Char1"/>
    <w:basedOn w:val="31"/>
    <w:link w:val="24"/>
    <w:qFormat/>
    <w:uiPriority w:val="99"/>
    <w:rPr>
      <w:rFonts w:ascii="Calibri" w:hAnsi="Calibri"/>
      <w:sz w:val="18"/>
      <w:szCs w:val="18"/>
      <w:lang w:val="en-US" w:bidi="ar-SA"/>
    </w:rPr>
  </w:style>
  <w:style w:type="character" w:customStyle="1" w:styleId="161">
    <w:name w:val="Footer Char1"/>
    <w:basedOn w:val="31"/>
    <w:link w:val="23"/>
    <w:qFormat/>
    <w:uiPriority w:val="99"/>
    <w:rPr>
      <w:rFonts w:ascii="Calibri" w:hAnsi="Calibri"/>
      <w:sz w:val="18"/>
      <w:szCs w:val="18"/>
      <w:lang w:val="en-US" w:bidi="ar-SA"/>
    </w:rPr>
  </w:style>
  <w:style w:type="paragraph" w:customStyle="1" w:styleId="162">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3">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4">
    <w:name w:val="Revision3"/>
    <w:hidden/>
    <w:semiHidden/>
    <w:qFormat/>
    <w:uiPriority w:val="99"/>
    <w:rPr>
      <w:rFonts w:ascii="Calibri" w:hAnsi="Calibri" w:cs="Times New Roman" w:eastAsiaTheme="minorEastAsia"/>
      <w:sz w:val="22"/>
      <w:szCs w:val="22"/>
      <w:lang w:val="en-US" w:eastAsia="zh-CN" w:bidi="ar-SA"/>
    </w:rPr>
  </w:style>
  <w:style w:type="character" w:customStyle="1" w:styleId="165">
    <w:name w:val="List Paragraph Char"/>
    <w:basedOn w:val="31"/>
    <w:link w:val="139"/>
    <w:qFormat/>
    <w:locked/>
    <w:uiPriority w:val="34"/>
    <w:rPr>
      <w:sz w:val="22"/>
      <w:lang w:eastAsia="ja-JP"/>
    </w:rPr>
  </w:style>
  <w:style w:type="character" w:customStyle="1" w:styleId="166">
    <w:name w:val="B1 Char1"/>
    <w:link w:val="134"/>
    <w:qFormat/>
    <w:uiPriority w:val="0"/>
    <w:rPr>
      <w:rFonts w:ascii="Calibri" w:hAnsi="Calibri" w:eastAsiaTheme="minorEastAsia"/>
      <w:sz w:val="22"/>
      <w:szCs w:val="22"/>
      <w:lang w:eastAsia="zh-CN"/>
    </w:rPr>
  </w:style>
  <w:style w:type="paragraph" w:customStyle="1" w:styleId="167">
    <w:name w:val="列表段落2"/>
    <w:basedOn w:val="1"/>
    <w:qFormat/>
    <w:uiPriority w:val="0"/>
    <w:pPr>
      <w:spacing w:before="100" w:beforeAutospacing="1" w:after="100" w:afterAutospacing="1"/>
      <w:ind w:left="840" w:leftChars="400"/>
      <w:jc w:val="both"/>
    </w:pPr>
    <w:rPr>
      <w:rFonts w:eastAsia="MS Gothic"/>
    </w:rPr>
  </w:style>
  <w:style w:type="character" w:customStyle="1" w:styleId="168">
    <w:name w:val="列表段落 字符1"/>
    <w:qFormat/>
    <w:uiPriority w:val="34"/>
    <w:rPr>
      <w:rFonts w:ascii="Times" w:hAnsi="Times" w:eastAsia="Batang"/>
      <w:szCs w:val="24"/>
      <w:lang w:val="en-GB" w:eastAsia="zh-CN"/>
    </w:rPr>
  </w:style>
  <w:style w:type="paragraph" w:customStyle="1" w:styleId="169">
    <w:name w:val="列表段落3"/>
    <w:basedOn w:val="1"/>
    <w:qFormat/>
    <w:uiPriority w:val="0"/>
    <w:pPr>
      <w:spacing w:before="100" w:beforeAutospacing="1" w:after="180"/>
      <w:ind w:left="720"/>
      <w:contextualSpacing/>
      <w:jc w:val="both"/>
    </w:pPr>
    <w:rPr>
      <w:rFonts w:eastAsia="Malgun Gothic"/>
    </w:rPr>
  </w:style>
  <w:style w:type="paragraph" w:customStyle="1" w:styleId="170">
    <w:name w:val="列表段落4"/>
    <w:basedOn w:val="1"/>
    <w:qFormat/>
    <w:uiPriority w:val="0"/>
    <w:pPr>
      <w:spacing w:before="100" w:beforeAutospacing="1" w:afterLines="50"/>
      <w:ind w:left="840" w:leftChars="400"/>
    </w:pPr>
    <w:rPr>
      <w:rFonts w:ascii="Times" w:hAnsi="Times" w:eastAsia="Batang"/>
    </w:rPr>
  </w:style>
  <w:style w:type="character" w:customStyle="1" w:styleId="171">
    <w:name w:val="Heading 1 Char"/>
    <w:basedOn w:val="31"/>
    <w:link w:val="2"/>
    <w:qFormat/>
    <w:uiPriority w:val="0"/>
    <w:rPr>
      <w:rFonts w:ascii="Arial" w:hAnsi="Arial" w:eastAsia="黑体" w:cs="Times New Roman"/>
      <w:b/>
      <w:bCs/>
      <w:sz w:val="30"/>
      <w:szCs w:val="30"/>
      <w:lang w:val="zh-CN"/>
    </w:rPr>
  </w:style>
  <w:style w:type="character" w:customStyle="1" w:styleId="172">
    <w:name w:val="Heading 2 Char"/>
    <w:basedOn w:val="31"/>
    <w:link w:val="3"/>
    <w:qFormat/>
    <w:uiPriority w:val="0"/>
    <w:rPr>
      <w:rFonts w:ascii="Cambria" w:hAnsi="Cambria" w:eastAsia="黑体" w:cs="Times New Roman"/>
      <w:b/>
      <w:bCs/>
      <w:sz w:val="32"/>
      <w:szCs w:val="32"/>
      <w:lang w:val="zh-CN"/>
    </w:rPr>
  </w:style>
  <w:style w:type="character" w:customStyle="1" w:styleId="173">
    <w:name w:val="Heading 3 Char"/>
    <w:basedOn w:val="31"/>
    <w:link w:val="4"/>
    <w:qFormat/>
    <w:uiPriority w:val="9"/>
    <w:rPr>
      <w:rFonts w:ascii="Cambria" w:hAnsi="Cambria" w:eastAsia="黑体" w:cs="Times New Roman"/>
      <w:b/>
      <w:bCs/>
      <w:sz w:val="32"/>
      <w:szCs w:val="32"/>
      <w:lang w:val="zh-CN"/>
    </w:rPr>
  </w:style>
  <w:style w:type="character" w:customStyle="1" w:styleId="174">
    <w:name w:val="Heading 4 Char1"/>
    <w:basedOn w:val="31"/>
    <w:link w:val="5"/>
    <w:qFormat/>
    <w:uiPriority w:val="0"/>
    <w:rPr>
      <w:rFonts w:ascii="Times New Roman" w:hAnsi="Times New Roman" w:eastAsia="黑体" w:cs="Times New Roman"/>
      <w:b/>
      <w:bCs/>
      <w:sz w:val="28"/>
      <w:szCs w:val="28"/>
      <w:lang w:val="en-GB"/>
    </w:rPr>
  </w:style>
  <w:style w:type="character" w:customStyle="1" w:styleId="175">
    <w:name w:val="Heading 5 Char1"/>
    <w:basedOn w:val="31"/>
    <w:link w:val="6"/>
    <w:qFormat/>
    <w:uiPriority w:val="0"/>
    <w:rPr>
      <w:rFonts w:ascii="Times New Roman" w:hAnsi="Times New Roman" w:eastAsia="黑体" w:cs="Times New Roman"/>
      <w:b/>
      <w:bCs/>
      <w:sz w:val="24"/>
      <w:szCs w:val="24"/>
      <w:lang w:val="en-GB"/>
    </w:rPr>
  </w:style>
  <w:style w:type="character" w:customStyle="1" w:styleId="176">
    <w:name w:val="Heading 6 Char1"/>
    <w:basedOn w:val="31"/>
    <w:link w:val="7"/>
    <w:semiHidden/>
    <w:qFormat/>
    <w:uiPriority w:val="9"/>
    <w:rPr>
      <w:rFonts w:ascii="Arial" w:hAnsi="Arial" w:eastAsia="黑体" w:cs="Times New Roman"/>
      <w:b/>
      <w:sz w:val="24"/>
      <w:szCs w:val="22"/>
    </w:rPr>
  </w:style>
  <w:style w:type="character" w:customStyle="1" w:styleId="177">
    <w:name w:val="Heading 7 Char1"/>
    <w:basedOn w:val="31"/>
    <w:link w:val="8"/>
    <w:semiHidden/>
    <w:qFormat/>
    <w:uiPriority w:val="9"/>
    <w:rPr>
      <w:rFonts w:ascii="Calibri" w:hAnsi="Calibri" w:cs="Times New Roman" w:eastAsiaTheme="minorEastAsia"/>
      <w:b/>
      <w:sz w:val="24"/>
      <w:szCs w:val="22"/>
    </w:rPr>
  </w:style>
  <w:style w:type="character" w:customStyle="1" w:styleId="178">
    <w:name w:val="Heading 8 Char1"/>
    <w:basedOn w:val="31"/>
    <w:link w:val="9"/>
    <w:semiHidden/>
    <w:qFormat/>
    <w:uiPriority w:val="9"/>
    <w:rPr>
      <w:rFonts w:ascii="Arial" w:hAnsi="Arial" w:eastAsia="黑体" w:cs="Times New Roman"/>
      <w:sz w:val="24"/>
      <w:szCs w:val="22"/>
    </w:rPr>
  </w:style>
  <w:style w:type="character" w:customStyle="1" w:styleId="179">
    <w:name w:val="Heading 9 Char1"/>
    <w:basedOn w:val="31"/>
    <w:link w:val="10"/>
    <w:semiHidden/>
    <w:qFormat/>
    <w:uiPriority w:val="9"/>
    <w:rPr>
      <w:rFonts w:ascii="Arial" w:hAnsi="Arial" w:eastAsia="黑体" w:cs="Times New Roman"/>
      <w:sz w:val="21"/>
      <w:szCs w:val="22"/>
    </w:rPr>
  </w:style>
  <w:style w:type="paragraph" w:customStyle="1" w:styleId="180">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1">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2">
    <w:name w:val="列表段落6"/>
    <w:basedOn w:val="1"/>
    <w:qFormat/>
    <w:uiPriority w:val="0"/>
    <w:pPr>
      <w:spacing w:before="100" w:beforeAutospacing="1" w:after="100" w:afterAutospacing="1"/>
      <w:ind w:left="840" w:leftChars="400"/>
      <w:jc w:val="both"/>
    </w:pPr>
    <w:rPr>
      <w:rFonts w:eastAsia="MS Gothic"/>
    </w:rPr>
  </w:style>
  <w:style w:type="paragraph" w:customStyle="1" w:styleId="183">
    <w:name w:val="List Paragraph4"/>
    <w:basedOn w:val="1"/>
    <w:qFormat/>
    <w:uiPriority w:val="0"/>
    <w:pPr>
      <w:spacing w:before="100" w:beforeAutospacing="1" w:after="180"/>
      <w:ind w:left="720"/>
      <w:contextualSpacing/>
      <w:jc w:val="both"/>
    </w:pPr>
    <w:rPr>
      <w:rFonts w:eastAsia="Malgun Gothic"/>
    </w:rPr>
  </w:style>
  <w:style w:type="character" w:customStyle="1" w:styleId="184">
    <w:name w:val="未处理的提及3"/>
    <w:basedOn w:val="31"/>
    <w:semiHidden/>
    <w:unhideWhenUsed/>
    <w:qFormat/>
    <w:uiPriority w:val="99"/>
    <w:rPr>
      <w:color w:val="605E5C"/>
      <w:shd w:val="clear" w:color="auto" w:fill="E1DFDD"/>
    </w:rPr>
  </w:style>
  <w:style w:type="character" w:customStyle="1" w:styleId="185">
    <w:name w:val="未处理的提及4"/>
    <w:basedOn w:val="31"/>
    <w:semiHidden/>
    <w:unhideWhenUsed/>
    <w:qFormat/>
    <w:uiPriority w:val="99"/>
    <w:rPr>
      <w:color w:val="605E5C"/>
      <w:shd w:val="clear" w:color="auto" w:fill="E1DFDD"/>
    </w:rPr>
  </w:style>
  <w:style w:type="paragraph" w:customStyle="1" w:styleId="186">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7">
    <w:name w:val="标题3"/>
    <w:basedOn w:val="1"/>
    <w:qFormat/>
    <w:uiPriority w:val="0"/>
    <w:pPr>
      <w:widowControl w:val="0"/>
      <w:spacing w:line="360" w:lineRule="auto"/>
      <w:ind w:left="1134"/>
    </w:pPr>
    <w:rPr>
      <w:i/>
      <w:color w:val="0000FF"/>
      <w:sz w:val="21"/>
      <w:szCs w:val="20"/>
      <w:u w:color="EEECE1"/>
    </w:rPr>
  </w:style>
  <w:style w:type="paragraph" w:customStyle="1" w:styleId="188">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89">
    <w:name w:val="列表段落 字符11"/>
    <w:basedOn w:val="31"/>
    <w:qFormat/>
    <w:uiPriority w:val="34"/>
    <w:rPr>
      <w:rFonts w:hint="default" w:ascii="Times" w:hAnsi="Times" w:eastAsia="Batang" w:cs="Times"/>
      <w:szCs w:val="24"/>
      <w:lang w:val="en-US"/>
    </w:rPr>
  </w:style>
  <w:style w:type="character" w:customStyle="1" w:styleId="190">
    <w:name w:val="列表段落 字符12"/>
    <w:basedOn w:val="31"/>
    <w:qFormat/>
    <w:uiPriority w:val="0"/>
    <w:rPr>
      <w:rFonts w:hint="default" w:ascii="Times" w:hAnsi="Times" w:eastAsia="Batang" w:cs="Times"/>
      <w:szCs w:val="24"/>
      <w:lang w:val="en-US"/>
    </w:rPr>
  </w:style>
  <w:style w:type="paragraph" w:customStyle="1" w:styleId="191">
    <w:name w:val="列表段落1"/>
    <w:basedOn w:val="1"/>
    <w:qFormat/>
    <w:uiPriority w:val="0"/>
    <w:pPr>
      <w:ind w:left="840" w:leftChars="400"/>
    </w:pPr>
    <w:rPr>
      <w:rFonts w:ascii="Times" w:hAnsi="Times" w:eastAsia="Batang"/>
      <w:sz w:val="20"/>
    </w:rPr>
  </w:style>
  <w:style w:type="character" w:customStyle="1" w:styleId="192">
    <w:name w:val="未处理的提及5"/>
    <w:basedOn w:val="31"/>
    <w:semiHidden/>
    <w:unhideWhenUsed/>
    <w:qFormat/>
    <w:uiPriority w:val="99"/>
    <w:rPr>
      <w:color w:val="605E5C"/>
      <w:shd w:val="clear" w:color="auto" w:fill="E1DFDD"/>
    </w:rPr>
  </w:style>
  <w:style w:type="paragraph" w:customStyle="1" w:styleId="193">
    <w:name w:val="List Paragraph5"/>
    <w:basedOn w:val="1"/>
    <w:qFormat/>
    <w:uiPriority w:val="0"/>
    <w:pPr>
      <w:spacing w:before="100" w:beforeAutospacing="1" w:after="180"/>
      <w:ind w:left="720"/>
      <w:contextualSpacing/>
      <w:jc w:val="both"/>
    </w:pPr>
    <w:rPr>
      <w:rFonts w:eastAsia="Malgun Gothic"/>
    </w:rPr>
  </w:style>
  <w:style w:type="character" w:customStyle="1" w:styleId="194">
    <w:name w:val="HTML Preformatted Char1"/>
    <w:basedOn w:val="31"/>
    <w:link w:val="26"/>
    <w:semiHidden/>
    <w:qFormat/>
    <w:uiPriority w:val="99"/>
    <w:rPr>
      <w:rFonts w:ascii="宋体" w:hAnsi="宋体" w:eastAsia="宋体" w:cs="宋体"/>
      <w:sz w:val="24"/>
      <w:szCs w:val="24"/>
    </w:rPr>
  </w:style>
  <w:style w:type="paragraph" w:customStyle="1" w:styleId="195">
    <w:name w:val="列表段落"/>
    <w:basedOn w:val="1"/>
    <w:link w:val="196"/>
    <w:qFormat/>
    <w:uiPriority w:val="0"/>
    <w:pPr>
      <w:ind w:left="840" w:leftChars="400"/>
    </w:pPr>
    <w:rPr>
      <w:rFonts w:ascii="Times" w:hAnsi="Times" w:eastAsia="Batang"/>
      <w:sz w:val="20"/>
    </w:rPr>
  </w:style>
  <w:style w:type="character" w:customStyle="1" w:styleId="196">
    <w:name w:val="列表段落 字符13"/>
    <w:basedOn w:val="31"/>
    <w:link w:val="195"/>
    <w:qFormat/>
    <w:uiPriority w:val="0"/>
    <w:rPr>
      <w:rFonts w:hint="default" w:ascii="Times" w:hAnsi="Times" w:eastAsia="Batang" w:cs="Times"/>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cid:image001.png@01D9D447.F8B35890" TargetMode="Externa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5A0233-4E17-4870-8091-F6A9CF86BC07}">
  <ds:schemaRefs/>
</ds:datastoreItem>
</file>

<file path=customXml/itemProps2.xml><?xml version="1.0" encoding="utf-8"?>
<ds:datastoreItem xmlns:ds="http://schemas.openxmlformats.org/officeDocument/2006/customXml" ds:itemID="{C03BEC09-001F-44E0-B7F0-0DF5DC39864C}">
  <ds:schemaRefs/>
</ds:datastoreItem>
</file>

<file path=customXml/itemProps3.xml><?xml version="1.0" encoding="utf-8"?>
<ds:datastoreItem xmlns:ds="http://schemas.openxmlformats.org/officeDocument/2006/customXml" ds:itemID="{918A2660-091B-41AB-ACE8-63A7146CA0AB}">
  <ds:schemaRefs/>
</ds:datastoreItem>
</file>

<file path=customXml/itemProps4.xml><?xml version="1.0" encoding="utf-8"?>
<ds:datastoreItem xmlns:ds="http://schemas.openxmlformats.org/officeDocument/2006/customXml" ds:itemID="{706546D0-0F3F-4324-8A71-4CE3BD79AB47}">
  <ds:schemaRefs/>
</ds:datastoreItem>
</file>

<file path=customXml/itemProps5.xml><?xml version="1.0" encoding="utf-8"?>
<ds:datastoreItem xmlns:ds="http://schemas.openxmlformats.org/officeDocument/2006/customXml" ds:itemID="{99E8D2A2-4CB3-40C7-9C22-14A6852A1FF3}">
  <ds:schemaRefs/>
</ds:datastoreItem>
</file>

<file path=customXml/itemProps6.xml><?xml version="1.0" encoding="utf-8"?>
<ds:datastoreItem xmlns:ds="http://schemas.openxmlformats.org/officeDocument/2006/customXml" ds:itemID="{049EE707-AE93-489E-829E-CF24FFA1CFF8}">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49</Pages>
  <Words>18132</Words>
  <Characters>103354</Characters>
  <Lines>861</Lines>
  <Paragraphs>242</Paragraphs>
  <TotalTime>8</TotalTime>
  <ScaleCrop>false</ScaleCrop>
  <LinksUpToDate>false</LinksUpToDate>
  <CharactersWithSpaces>121244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2023-08-24T13:39:00Z</dcterms:created>
  <dc:creator>ZTE</dc:creator>
  <cp:lastModifiedBy>蒋创新</cp:lastModifiedBy>
  <dcterms:modified xsi:type="dcterms:W3CDTF">2023-08-25T07:08:21Z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2052-11.8.2.11718</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PpjeLB1gRN0lwrPqMaCTkgQoTNnkHIT382o6OKwHR+n+iMqecxO6jiN0rmiUo1k0UyCNK57w62hOrCvO0e8GFxf1ClWnwsoe7dBXl5meMSI8zLUqeAphaZ42FoUICpVVeWsluWv/KFRH+M8oeV2dtQYWqxOeq/wLNtlR/y0dFti+AiT/FyZVPwp/PJ7Boy7O8ATlvLHspekonBTgogiVjLyjQgwy7JKb8P3RAfEQTXj+uyIgB+logWOHk5jex2X</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722972003fea11ee8000015a0000005a">
    <vt:lpwstr>CWMrx8tfU2/eWPmIx6j/5jU7T2gINyTZDL9DURhag2cxNeIiSES0jN5elRXPWOoeFaHcQ6r0ZED6krwMF3g28Q4mw==</vt:lpwstr>
  </property>
</Properties>
</file>